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F84E9" w14:textId="7F6E6589" w:rsidR="00EC649C" w:rsidRPr="00E12DCD" w:rsidRDefault="00E12DCD" w:rsidP="00EC649C">
      <w:pPr>
        <w:pStyle w:val="NormalWeb"/>
        <w:rPr>
          <w:b/>
          <w:bCs/>
        </w:rPr>
      </w:pPr>
      <w:r w:rsidRPr="00E12DCD">
        <w:rPr>
          <w:b/>
          <w:bCs/>
        </w:rPr>
        <w:t xml:space="preserve"> ASSESSMENT AND EVALUATION IN MODERN EDUCATION SYSTEMS</w:t>
      </w:r>
    </w:p>
    <w:p w14:paraId="778DD755" w14:textId="77777777" w:rsidR="00E12DCD" w:rsidRPr="00E12DCD" w:rsidRDefault="00E12DCD" w:rsidP="00E12DCD">
      <w:pPr>
        <w:pStyle w:val="NormalWeb"/>
        <w:spacing w:before="0" w:beforeAutospacing="0" w:after="0" w:afterAutospacing="0"/>
        <w:rPr>
          <w:i/>
          <w:iCs/>
          <w:sz w:val="22"/>
          <w:szCs w:val="22"/>
        </w:rPr>
      </w:pPr>
      <w:r w:rsidRPr="00E12DCD">
        <w:rPr>
          <w:i/>
          <w:iCs/>
          <w:sz w:val="22"/>
          <w:szCs w:val="22"/>
        </w:rPr>
        <w:t xml:space="preserve">Evi </w:t>
      </w:r>
      <w:proofErr w:type="spellStart"/>
      <w:r w:rsidRPr="00E12DCD">
        <w:rPr>
          <w:i/>
          <w:iCs/>
          <w:sz w:val="22"/>
          <w:szCs w:val="22"/>
        </w:rPr>
        <w:t>Diyah</w:t>
      </w:r>
      <w:proofErr w:type="spellEnd"/>
      <w:r w:rsidRPr="00E12DCD">
        <w:rPr>
          <w:i/>
          <w:iCs/>
          <w:sz w:val="22"/>
          <w:szCs w:val="22"/>
        </w:rPr>
        <w:t xml:space="preserve"> Novita</w:t>
      </w:r>
    </w:p>
    <w:p w14:paraId="534F8CB5" w14:textId="77777777" w:rsidR="00E12DCD" w:rsidRPr="00E12DCD" w:rsidRDefault="00E12DCD" w:rsidP="00E12DCD">
      <w:pPr>
        <w:pStyle w:val="NormalWeb"/>
        <w:spacing w:before="0" w:beforeAutospacing="0" w:after="0" w:afterAutospacing="0"/>
        <w:rPr>
          <w:i/>
          <w:iCs/>
          <w:sz w:val="22"/>
          <w:szCs w:val="22"/>
        </w:rPr>
      </w:pPr>
      <w:r w:rsidRPr="00E12DCD">
        <w:rPr>
          <w:i/>
          <w:iCs/>
          <w:sz w:val="22"/>
          <w:szCs w:val="22"/>
        </w:rPr>
        <w:t xml:space="preserve">Universitas </w:t>
      </w:r>
      <w:proofErr w:type="spellStart"/>
      <w:r w:rsidRPr="00E12DCD">
        <w:rPr>
          <w:i/>
          <w:iCs/>
          <w:sz w:val="22"/>
          <w:szCs w:val="22"/>
        </w:rPr>
        <w:t>Brawijaya</w:t>
      </w:r>
      <w:proofErr w:type="spellEnd"/>
      <w:r w:rsidRPr="00E12DCD">
        <w:rPr>
          <w:i/>
          <w:iCs/>
          <w:sz w:val="22"/>
          <w:szCs w:val="22"/>
        </w:rPr>
        <w:t>, Malang, Indonesia</w:t>
      </w:r>
    </w:p>
    <w:p w14:paraId="3B2D3EE8" w14:textId="1A506780" w:rsidR="006D7C6A" w:rsidRPr="00AD65E6" w:rsidRDefault="004A03E7" w:rsidP="00AD65E6">
      <w:pPr>
        <w:pStyle w:val="BodyText"/>
        <w:spacing w:before="140"/>
        <w:jc w:val="both"/>
        <w:rPr>
          <w:i/>
          <w:iCs/>
        </w:rPr>
      </w:pPr>
      <w:r w:rsidRPr="00FF342B">
        <w:rPr>
          <w:i/>
          <w:iCs/>
          <w:color w:val="000000"/>
        </w:rPr>
        <w:tab/>
      </w:r>
    </w:p>
    <w:tbl>
      <w:tblPr>
        <w:tblStyle w:val="a"/>
        <w:tblW w:w="993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75"/>
        <w:gridCol w:w="361"/>
        <w:gridCol w:w="5898"/>
      </w:tblGrid>
      <w:tr w:rsidR="006D7C6A" w14:paraId="7026352E" w14:textId="77777777">
        <w:trPr>
          <w:trHeight w:val="348"/>
        </w:trPr>
        <w:tc>
          <w:tcPr>
            <w:tcW w:w="3675" w:type="dxa"/>
            <w:tcBorders>
              <w:top w:val="single" w:sz="8" w:space="0" w:color="000000"/>
              <w:bottom w:val="single" w:sz="8" w:space="0" w:color="000000"/>
            </w:tcBorders>
            <w:shd w:val="clear" w:color="auto" w:fill="D9D9D9"/>
          </w:tcPr>
          <w:p w14:paraId="51D328EA" w14:textId="77777777" w:rsidR="006D7C6A" w:rsidRDefault="004A03E7">
            <w:pPr>
              <w:spacing w:before="60" w:after="60"/>
              <w:jc w:val="left"/>
              <w:rPr>
                <w:smallCaps/>
                <w:sz w:val="20"/>
                <w:szCs w:val="20"/>
              </w:rPr>
            </w:pPr>
            <w:r>
              <w:rPr>
                <w:smallCaps/>
                <w:sz w:val="20"/>
                <w:szCs w:val="20"/>
              </w:rPr>
              <w:t>Keywords</w:t>
            </w:r>
          </w:p>
        </w:tc>
        <w:tc>
          <w:tcPr>
            <w:tcW w:w="361" w:type="dxa"/>
            <w:vMerge w:val="restart"/>
            <w:tcBorders>
              <w:top w:val="single" w:sz="8" w:space="0" w:color="000000"/>
            </w:tcBorders>
          </w:tcPr>
          <w:p w14:paraId="2CD582A8" w14:textId="77777777" w:rsidR="006D7C6A" w:rsidRDefault="006D7C6A">
            <w:pPr>
              <w:spacing w:after="120"/>
              <w:jc w:val="left"/>
              <w:rPr>
                <w:sz w:val="20"/>
                <w:szCs w:val="20"/>
              </w:rPr>
            </w:pPr>
          </w:p>
        </w:tc>
        <w:tc>
          <w:tcPr>
            <w:tcW w:w="5898" w:type="dxa"/>
            <w:tcBorders>
              <w:top w:val="single" w:sz="8" w:space="0" w:color="000000"/>
              <w:bottom w:val="single" w:sz="8" w:space="0" w:color="000000"/>
            </w:tcBorders>
            <w:shd w:val="clear" w:color="auto" w:fill="D9D9D9"/>
          </w:tcPr>
          <w:p w14:paraId="16024538" w14:textId="77777777" w:rsidR="006D7C6A" w:rsidRDefault="004A03E7">
            <w:pPr>
              <w:spacing w:after="120"/>
              <w:jc w:val="left"/>
              <w:rPr>
                <w:b/>
                <w:sz w:val="20"/>
                <w:szCs w:val="20"/>
              </w:rPr>
            </w:pPr>
            <w:r>
              <w:rPr>
                <w:b/>
                <w:sz w:val="20"/>
                <w:szCs w:val="20"/>
              </w:rPr>
              <w:t>ABSTRACT</w:t>
            </w:r>
          </w:p>
        </w:tc>
      </w:tr>
      <w:tr w:rsidR="006D7C6A" w14:paraId="711959EA" w14:textId="77777777">
        <w:trPr>
          <w:trHeight w:val="940"/>
        </w:trPr>
        <w:tc>
          <w:tcPr>
            <w:tcW w:w="3675" w:type="dxa"/>
            <w:tcBorders>
              <w:top w:val="single" w:sz="8" w:space="0" w:color="000000"/>
            </w:tcBorders>
          </w:tcPr>
          <w:p w14:paraId="06208E5B" w14:textId="77777777" w:rsidR="00FF342B" w:rsidRPr="00FF342B" w:rsidRDefault="00FF342B" w:rsidP="00FF342B">
            <w:pPr>
              <w:autoSpaceDE w:val="0"/>
              <w:autoSpaceDN w:val="0"/>
              <w:adjustRightInd w:val="0"/>
              <w:spacing w:line="240" w:lineRule="auto"/>
              <w:jc w:val="left"/>
              <w:rPr>
                <w:rFonts w:ascii="Calisto MT" w:hAnsi="Calisto MT" w:cs="Calisto MT"/>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3456"/>
            </w:tblGrid>
            <w:tr w:rsidR="00FF342B" w:rsidRPr="00FF342B" w14:paraId="24A00F2E" w14:textId="77777777" w:rsidTr="009970E4">
              <w:trPr>
                <w:trHeight w:val="105"/>
              </w:trPr>
              <w:tc>
                <w:tcPr>
                  <w:tcW w:w="3456" w:type="dxa"/>
                </w:tcPr>
                <w:p w14:paraId="2A01DDA0" w14:textId="339B47D7" w:rsidR="00FF342B" w:rsidRPr="00FF342B" w:rsidRDefault="00B96305" w:rsidP="009970E4">
                  <w:pPr>
                    <w:autoSpaceDE w:val="0"/>
                    <w:autoSpaceDN w:val="0"/>
                    <w:adjustRightInd w:val="0"/>
                    <w:spacing w:line="240" w:lineRule="auto"/>
                    <w:rPr>
                      <w:rFonts w:ascii="Calisto MT" w:hAnsi="Calisto MT" w:cs="Calisto MT"/>
                      <w:i/>
                      <w:iCs/>
                      <w:color w:val="000000"/>
                    </w:rPr>
                  </w:pPr>
                  <w:r>
                    <w:t xml:space="preserve">Assessment, Evaluation, Formative Assessment, Educational Technology, </w:t>
                  </w:r>
                </w:p>
              </w:tc>
            </w:tr>
          </w:tbl>
          <w:p w14:paraId="04D31CA0" w14:textId="4015245B" w:rsidR="006D7C6A" w:rsidRDefault="006D7C6A"/>
        </w:tc>
        <w:tc>
          <w:tcPr>
            <w:tcW w:w="361" w:type="dxa"/>
            <w:vMerge/>
            <w:tcBorders>
              <w:top w:val="single" w:sz="8" w:space="0" w:color="000000"/>
            </w:tcBorders>
          </w:tcPr>
          <w:p w14:paraId="31FDE3CB" w14:textId="77777777" w:rsidR="006D7C6A" w:rsidRDefault="006D7C6A">
            <w:pPr>
              <w:widowControl w:val="0"/>
              <w:pBdr>
                <w:top w:val="nil"/>
                <w:left w:val="nil"/>
                <w:bottom w:val="nil"/>
                <w:right w:val="nil"/>
                <w:between w:val="nil"/>
              </w:pBdr>
              <w:jc w:val="left"/>
            </w:pPr>
          </w:p>
        </w:tc>
        <w:tc>
          <w:tcPr>
            <w:tcW w:w="5898" w:type="dxa"/>
            <w:vMerge w:val="restart"/>
            <w:tcBorders>
              <w:top w:val="single" w:sz="8" w:space="0" w:color="000000"/>
            </w:tcBorders>
            <w:shd w:val="clear" w:color="auto" w:fill="D9D9D9"/>
          </w:tcPr>
          <w:p w14:paraId="7418A907" w14:textId="05470DF4" w:rsidR="006D7C6A" w:rsidRPr="00AD5F46" w:rsidRDefault="00B96305" w:rsidP="00AD5F46">
            <w:r>
              <w:t>This article explores the evolving role of assessment and evaluation within modern education systems. As educational priorities shift toward developing 21st-century skills such as critical thinking, creativity, and collaboration, traditional assessment methods are increasingly being replaced or complemented by more formative, student-</w:t>
            </w:r>
            <w:proofErr w:type="spellStart"/>
            <w:r>
              <w:t>centered</w:t>
            </w:r>
            <w:proofErr w:type="spellEnd"/>
            <w:r>
              <w:t xml:space="preserve"> approaches. The integration of digital technologies has further transformed assessment practices, enabling real-time feedback, personalized learning, and greater accessibility. Additionally, there is a growing emphasis on inclusive and culturally responsive assessment strategies to support diverse learners. Through a qualitative review of recent literature and educational frameworks, this article discusses the benefits, challenges, and implications of these developments. The findings highlight the need for sustained professional development, policy reform, and collaboration among stakeholders to ensure that assessment remains relevant, equitable, and effective in supporting lifelong learning.</w:t>
            </w:r>
          </w:p>
        </w:tc>
      </w:tr>
      <w:tr w:rsidR="006D7C6A" w14:paraId="68081741" w14:textId="77777777">
        <w:trPr>
          <w:trHeight w:val="348"/>
        </w:trPr>
        <w:tc>
          <w:tcPr>
            <w:tcW w:w="3675" w:type="dxa"/>
            <w:shd w:val="clear" w:color="auto" w:fill="D9D9D9"/>
          </w:tcPr>
          <w:p w14:paraId="749B6742" w14:textId="77777777" w:rsidR="006D7C6A" w:rsidRDefault="004A03E7">
            <w:pPr>
              <w:spacing w:before="60" w:after="60"/>
              <w:rPr>
                <w:smallCaps/>
                <w:sz w:val="20"/>
                <w:szCs w:val="20"/>
              </w:rPr>
            </w:pPr>
            <w:r>
              <w:rPr>
                <w:smallCaps/>
                <w:sz w:val="20"/>
                <w:szCs w:val="20"/>
              </w:rPr>
              <w:t>corresponding author(s):</w:t>
            </w:r>
          </w:p>
        </w:tc>
        <w:tc>
          <w:tcPr>
            <w:tcW w:w="361" w:type="dxa"/>
            <w:vMerge/>
            <w:tcBorders>
              <w:top w:val="single" w:sz="8" w:space="0" w:color="000000"/>
            </w:tcBorders>
          </w:tcPr>
          <w:p w14:paraId="08D5358F" w14:textId="77777777" w:rsidR="006D7C6A" w:rsidRDefault="006D7C6A">
            <w:pPr>
              <w:widowControl w:val="0"/>
              <w:pBdr>
                <w:top w:val="nil"/>
                <w:left w:val="nil"/>
                <w:bottom w:val="nil"/>
                <w:right w:val="nil"/>
                <w:between w:val="nil"/>
              </w:pBdr>
              <w:jc w:val="left"/>
              <w:rPr>
                <w:smallCaps/>
                <w:sz w:val="20"/>
                <w:szCs w:val="20"/>
              </w:rPr>
            </w:pPr>
          </w:p>
        </w:tc>
        <w:tc>
          <w:tcPr>
            <w:tcW w:w="5898" w:type="dxa"/>
            <w:vMerge/>
            <w:tcBorders>
              <w:top w:val="single" w:sz="8" w:space="0" w:color="000000"/>
            </w:tcBorders>
            <w:shd w:val="clear" w:color="auto" w:fill="D9D9D9"/>
          </w:tcPr>
          <w:p w14:paraId="767455AF" w14:textId="77777777" w:rsidR="006D7C6A" w:rsidRDefault="006D7C6A">
            <w:pPr>
              <w:widowControl w:val="0"/>
              <w:pBdr>
                <w:top w:val="nil"/>
                <w:left w:val="nil"/>
                <w:bottom w:val="nil"/>
                <w:right w:val="nil"/>
                <w:between w:val="nil"/>
              </w:pBdr>
              <w:jc w:val="left"/>
              <w:rPr>
                <w:smallCaps/>
                <w:sz w:val="20"/>
                <w:szCs w:val="20"/>
              </w:rPr>
            </w:pPr>
          </w:p>
        </w:tc>
      </w:tr>
      <w:tr w:rsidR="006D7C6A" w14:paraId="7E90B1D1" w14:textId="77777777">
        <w:trPr>
          <w:trHeight w:val="278"/>
        </w:trPr>
        <w:tc>
          <w:tcPr>
            <w:tcW w:w="3675" w:type="dxa"/>
          </w:tcPr>
          <w:p w14:paraId="4A361DF3" w14:textId="77777777" w:rsidR="00E12DCD" w:rsidRDefault="004A03E7" w:rsidP="00E12DCD">
            <w:pPr>
              <w:pStyle w:val="NormalWeb"/>
            </w:pPr>
            <w:r>
              <w:rPr>
                <w:sz w:val="16"/>
                <w:szCs w:val="16"/>
              </w:rPr>
              <w:t>E-mail:</w:t>
            </w:r>
            <w:r w:rsidR="00FF342B" w:rsidRPr="00FF342B">
              <w:rPr>
                <w:rFonts w:ascii="Calisto MT" w:hAnsi="Calisto MT" w:cs="Calisto MT"/>
                <w:color w:val="0462C1"/>
              </w:rPr>
              <w:t xml:space="preserve"> </w:t>
            </w:r>
            <w:hyperlink r:id="rId9" w:history="1">
              <w:r w:rsidR="00E12DCD" w:rsidRPr="00E12DCD">
                <w:rPr>
                  <w:rStyle w:val="Hyperlink"/>
                  <w:sz w:val="18"/>
                  <w:szCs w:val="18"/>
                </w:rPr>
                <w:t>evidiahnovita86@gmail.com</w:t>
              </w:r>
            </w:hyperlink>
          </w:p>
          <w:p w14:paraId="0902A2D9" w14:textId="1927CC98" w:rsidR="00FF342B" w:rsidRPr="00FF342B" w:rsidRDefault="00FF342B" w:rsidP="00FF342B">
            <w:pPr>
              <w:pStyle w:val="Default"/>
              <w:rPr>
                <w:rFonts w:ascii="Calisto MT" w:hAnsi="Calisto MT" w:cs="Calisto MT"/>
              </w:rPr>
            </w:pPr>
          </w:p>
          <w:tbl>
            <w:tblPr>
              <w:tblW w:w="0" w:type="auto"/>
              <w:tblBorders>
                <w:top w:val="nil"/>
                <w:left w:val="nil"/>
                <w:bottom w:val="nil"/>
                <w:right w:val="nil"/>
              </w:tblBorders>
              <w:tblLayout w:type="fixed"/>
              <w:tblLook w:val="0000" w:firstRow="0" w:lastRow="0" w:firstColumn="0" w:lastColumn="0" w:noHBand="0" w:noVBand="0"/>
            </w:tblPr>
            <w:tblGrid>
              <w:gridCol w:w="2043"/>
            </w:tblGrid>
            <w:tr w:rsidR="00FF342B" w:rsidRPr="00FF342B" w14:paraId="142DAA9D" w14:textId="77777777">
              <w:trPr>
                <w:trHeight w:val="82"/>
              </w:trPr>
              <w:tc>
                <w:tcPr>
                  <w:tcW w:w="2043" w:type="dxa"/>
                </w:tcPr>
                <w:p w14:paraId="452E16CE" w14:textId="750D676B" w:rsidR="00FF342B" w:rsidRPr="00FF342B" w:rsidRDefault="00FF342B" w:rsidP="00FF342B">
                  <w:pPr>
                    <w:autoSpaceDE w:val="0"/>
                    <w:autoSpaceDN w:val="0"/>
                    <w:adjustRightInd w:val="0"/>
                    <w:spacing w:line="240" w:lineRule="auto"/>
                    <w:jc w:val="left"/>
                    <w:rPr>
                      <w:rFonts w:ascii="Calisto MT" w:hAnsi="Calisto MT" w:cs="Calisto MT"/>
                      <w:color w:val="0462C1"/>
                    </w:rPr>
                  </w:pPr>
                </w:p>
              </w:tc>
            </w:tr>
          </w:tbl>
          <w:p w14:paraId="1970FC0C" w14:textId="36F71158" w:rsidR="006D7C6A" w:rsidRDefault="006D7C6A">
            <w:pPr>
              <w:spacing w:before="120" w:after="120"/>
              <w:jc w:val="left"/>
              <w:rPr>
                <w:sz w:val="16"/>
                <w:szCs w:val="16"/>
              </w:rPr>
            </w:pPr>
          </w:p>
        </w:tc>
        <w:tc>
          <w:tcPr>
            <w:tcW w:w="361" w:type="dxa"/>
            <w:vMerge/>
            <w:tcBorders>
              <w:top w:val="single" w:sz="8" w:space="0" w:color="000000"/>
            </w:tcBorders>
          </w:tcPr>
          <w:p w14:paraId="1E820D43" w14:textId="77777777" w:rsidR="006D7C6A" w:rsidRDefault="006D7C6A">
            <w:pPr>
              <w:widowControl w:val="0"/>
              <w:pBdr>
                <w:top w:val="nil"/>
                <w:left w:val="nil"/>
                <w:bottom w:val="nil"/>
                <w:right w:val="nil"/>
                <w:between w:val="nil"/>
              </w:pBdr>
              <w:jc w:val="left"/>
              <w:rPr>
                <w:sz w:val="16"/>
                <w:szCs w:val="16"/>
              </w:rPr>
            </w:pPr>
          </w:p>
        </w:tc>
        <w:tc>
          <w:tcPr>
            <w:tcW w:w="5898" w:type="dxa"/>
            <w:vMerge/>
            <w:tcBorders>
              <w:top w:val="single" w:sz="8" w:space="0" w:color="000000"/>
            </w:tcBorders>
            <w:shd w:val="clear" w:color="auto" w:fill="D9D9D9"/>
          </w:tcPr>
          <w:p w14:paraId="7E437FF4" w14:textId="77777777" w:rsidR="006D7C6A" w:rsidRDefault="006D7C6A">
            <w:pPr>
              <w:widowControl w:val="0"/>
              <w:pBdr>
                <w:top w:val="nil"/>
                <w:left w:val="nil"/>
                <w:bottom w:val="nil"/>
                <w:right w:val="nil"/>
                <w:between w:val="nil"/>
              </w:pBdr>
              <w:jc w:val="left"/>
              <w:rPr>
                <w:sz w:val="16"/>
                <w:szCs w:val="16"/>
              </w:rPr>
            </w:pPr>
          </w:p>
        </w:tc>
      </w:tr>
      <w:tr w:rsidR="006D7C6A" w14:paraId="0F22BCF9" w14:textId="77777777">
        <w:trPr>
          <w:trHeight w:val="278"/>
        </w:trPr>
        <w:tc>
          <w:tcPr>
            <w:tcW w:w="3675" w:type="dxa"/>
            <w:tcBorders>
              <w:bottom w:val="single" w:sz="24" w:space="0" w:color="000000"/>
            </w:tcBorders>
          </w:tcPr>
          <w:p w14:paraId="10029AA3" w14:textId="77777777" w:rsidR="006D7C6A" w:rsidRDefault="006D7C6A">
            <w:pPr>
              <w:spacing w:line="360" w:lineRule="auto"/>
              <w:rPr>
                <w:sz w:val="16"/>
                <w:szCs w:val="16"/>
              </w:rPr>
            </w:pPr>
          </w:p>
        </w:tc>
        <w:tc>
          <w:tcPr>
            <w:tcW w:w="361" w:type="dxa"/>
            <w:vMerge/>
            <w:tcBorders>
              <w:top w:val="single" w:sz="8" w:space="0" w:color="000000"/>
            </w:tcBorders>
          </w:tcPr>
          <w:p w14:paraId="4EF30E7E" w14:textId="77777777" w:rsidR="006D7C6A" w:rsidRDefault="006D7C6A">
            <w:pPr>
              <w:widowControl w:val="0"/>
              <w:pBdr>
                <w:top w:val="nil"/>
                <w:left w:val="nil"/>
                <w:bottom w:val="nil"/>
                <w:right w:val="nil"/>
                <w:between w:val="nil"/>
              </w:pBdr>
              <w:jc w:val="left"/>
              <w:rPr>
                <w:sz w:val="16"/>
                <w:szCs w:val="16"/>
              </w:rPr>
            </w:pPr>
          </w:p>
        </w:tc>
        <w:tc>
          <w:tcPr>
            <w:tcW w:w="5898" w:type="dxa"/>
            <w:vMerge/>
            <w:tcBorders>
              <w:top w:val="single" w:sz="8" w:space="0" w:color="000000"/>
            </w:tcBorders>
            <w:shd w:val="clear" w:color="auto" w:fill="D9D9D9"/>
          </w:tcPr>
          <w:p w14:paraId="5D7FE937" w14:textId="77777777" w:rsidR="006D7C6A" w:rsidRDefault="006D7C6A">
            <w:pPr>
              <w:widowControl w:val="0"/>
              <w:pBdr>
                <w:top w:val="nil"/>
                <w:left w:val="nil"/>
                <w:bottom w:val="nil"/>
                <w:right w:val="nil"/>
                <w:between w:val="nil"/>
              </w:pBdr>
              <w:jc w:val="left"/>
              <w:rPr>
                <w:sz w:val="16"/>
                <w:szCs w:val="16"/>
              </w:rPr>
            </w:pPr>
          </w:p>
        </w:tc>
      </w:tr>
    </w:tbl>
    <w:p w14:paraId="42B855B4" w14:textId="77777777" w:rsidR="006D7C6A" w:rsidRDefault="006D7C6A">
      <w:pPr>
        <w:sectPr w:rsidR="006D7C6A" w:rsidSect="00B96305">
          <w:headerReference w:type="even" r:id="rId10"/>
          <w:headerReference w:type="default" r:id="rId11"/>
          <w:footerReference w:type="even" r:id="rId12"/>
          <w:footerReference w:type="default" r:id="rId13"/>
          <w:headerReference w:type="first" r:id="rId14"/>
          <w:footerReference w:type="first" r:id="rId15"/>
          <w:pgSz w:w="11900" w:h="16840"/>
          <w:pgMar w:top="1077" w:right="811" w:bottom="2438" w:left="1134" w:header="851" w:footer="851" w:gutter="0"/>
          <w:pgNumType w:start="14"/>
          <w:cols w:space="720"/>
          <w:titlePg/>
        </w:sectPr>
      </w:pPr>
    </w:p>
    <w:p w14:paraId="34BCAB8A" w14:textId="34EAAB22" w:rsidR="006D7C6A" w:rsidRPr="00FD19FC" w:rsidRDefault="001851FF" w:rsidP="00AD5F46">
      <w:pPr>
        <w:pStyle w:val="Heading1"/>
        <w:numPr>
          <w:ilvl w:val="0"/>
          <w:numId w:val="0"/>
        </w:numPr>
        <w:ind w:left="720" w:right="709" w:hanging="720"/>
        <w:jc w:val="both"/>
        <w:rPr>
          <w:rFonts w:ascii="Bookman Old Style" w:eastAsia="Bookman Old Style" w:hAnsi="Bookman Old Style" w:cs="Bookman Old Style"/>
          <w:sz w:val="22"/>
          <w:szCs w:val="22"/>
          <w:lang w:val="en-US"/>
        </w:rPr>
      </w:pPr>
      <w:r>
        <w:rPr>
          <w:rFonts w:ascii="Bookman Old Style" w:eastAsia="Bookman Old Style" w:hAnsi="Bookman Old Style" w:cs="Bookman Old Style"/>
          <w:sz w:val="22"/>
          <w:szCs w:val="22"/>
          <w:lang w:val="en-US"/>
        </w:rPr>
        <w:t>INTRODUCTION</w:t>
      </w:r>
    </w:p>
    <w:p w14:paraId="51EF1718"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 xml:space="preserve">In today’s rapidly changing world, education systems are undergoing significant transformation to meet the needs of the 21st century. With the rise of globalization, technological advancements, and diverse learning needs, the way we assess and evaluate students' learning has become more critical than ever. </w:t>
      </w:r>
      <w:r w:rsidRPr="00E12DCD">
        <w:rPr>
          <w:rFonts w:ascii="Bookman Old Style" w:hAnsi="Bookman Old Style"/>
          <w:b/>
          <w:bCs/>
          <w:sz w:val="22"/>
          <w:szCs w:val="22"/>
        </w:rPr>
        <w:t>Assessment and evaluation</w:t>
      </w:r>
      <w:r w:rsidRPr="00E12DCD">
        <w:rPr>
          <w:rFonts w:ascii="Bookman Old Style" w:hAnsi="Bookman Old Style"/>
          <w:sz w:val="22"/>
          <w:szCs w:val="22"/>
        </w:rPr>
        <w:t xml:space="preserve"> are no longer viewed as mere tools for grading or ranking students; instead, they are essential components of effective teaching and learning processes. They provide meaningful information about students’ progress, guide instructional decisions, and help shape educational policies that aim to improve learning outcomes for all learners.</w:t>
      </w:r>
    </w:p>
    <w:p w14:paraId="5C55C29E"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 xml:space="preserve">In traditional education systems, assessment was largely focused on summative methods—standardized tests, final exams, and grades that measured students’ ability to recall information. While these approaches provided a snapshot of academic achievement, they often failed to capture the complexity of learning or support students’ development in real time. Modern education systems, however, emphasize </w:t>
      </w:r>
      <w:r w:rsidRPr="00E12DCD">
        <w:rPr>
          <w:rFonts w:ascii="Bookman Old Style" w:hAnsi="Bookman Old Style"/>
          <w:sz w:val="22"/>
          <w:szCs w:val="22"/>
        </w:rPr>
        <w:lastRenderedPageBreak/>
        <w:t xml:space="preserve">a more comprehensive and continuous approach. </w:t>
      </w:r>
      <w:r w:rsidRPr="00E12DCD">
        <w:rPr>
          <w:rFonts w:ascii="Bookman Old Style" w:hAnsi="Bookman Old Style"/>
          <w:b/>
          <w:bCs/>
          <w:sz w:val="22"/>
          <w:szCs w:val="22"/>
        </w:rPr>
        <w:t>Formative assessments</w:t>
      </w:r>
      <w:r w:rsidRPr="00E12DCD">
        <w:rPr>
          <w:rFonts w:ascii="Bookman Old Style" w:hAnsi="Bookman Old Style"/>
          <w:sz w:val="22"/>
          <w:szCs w:val="22"/>
        </w:rPr>
        <w:t>, such as classroom observations, quizzes, reflective journals, and peer evaluations, are increasingly used to provide ongoing feedback and support personalized learning. These methods help teachers identify learning gaps early, adjust their instruction accordingly, and engage students in a more active and reflective learning process.</w:t>
      </w:r>
    </w:p>
    <w:p w14:paraId="61180B80"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 xml:space="preserve">Furthermore, the integration of digital tools and educational technology has revolutionized assessment practices. Online platforms, learning management systems, and data analytics allow for real-time monitoring of student performance, adaptive testing, and interactive feedback. Technology has also enabled more inclusive and accessible assessments for students with diverse learning needs, including those with disabilities or language barriers. This shift aligns with a broader goal of </w:t>
      </w:r>
      <w:r w:rsidRPr="00E12DCD">
        <w:rPr>
          <w:rFonts w:ascii="Bookman Old Style" w:hAnsi="Bookman Old Style"/>
          <w:b/>
          <w:bCs/>
          <w:sz w:val="22"/>
          <w:szCs w:val="22"/>
        </w:rPr>
        <w:t>equity in education</w:t>
      </w:r>
      <w:r w:rsidRPr="00E12DCD">
        <w:rPr>
          <w:rFonts w:ascii="Bookman Old Style" w:hAnsi="Bookman Old Style"/>
          <w:sz w:val="22"/>
          <w:szCs w:val="22"/>
        </w:rPr>
        <w:t>, ensuring that all students have the opportunity to demonstrate their abilities in ways that reflect their unique strengths and learning styles.</w:t>
      </w:r>
    </w:p>
    <w:p w14:paraId="727E211D"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 xml:space="preserve">However, despite these advancements, modern assessment and evaluation systems face several challenges. Ensuring the </w:t>
      </w:r>
      <w:r w:rsidRPr="00E12DCD">
        <w:rPr>
          <w:rFonts w:ascii="Bookman Old Style" w:hAnsi="Bookman Old Style"/>
          <w:b/>
          <w:bCs/>
          <w:sz w:val="22"/>
          <w:szCs w:val="22"/>
        </w:rPr>
        <w:t>validity and reliability</w:t>
      </w:r>
      <w:r w:rsidRPr="00E12DCD">
        <w:rPr>
          <w:rFonts w:ascii="Bookman Old Style" w:hAnsi="Bookman Old Style"/>
          <w:sz w:val="22"/>
          <w:szCs w:val="22"/>
        </w:rPr>
        <w:t xml:space="preserve"> of new assessment methods, addressing issues of </w:t>
      </w:r>
      <w:r w:rsidRPr="00E12DCD">
        <w:rPr>
          <w:rFonts w:ascii="Bookman Old Style" w:hAnsi="Bookman Old Style"/>
          <w:b/>
          <w:bCs/>
          <w:sz w:val="22"/>
          <w:szCs w:val="22"/>
        </w:rPr>
        <w:t>bias and fairness</w:t>
      </w:r>
      <w:r w:rsidRPr="00E12DCD">
        <w:rPr>
          <w:rFonts w:ascii="Bookman Old Style" w:hAnsi="Bookman Old Style"/>
          <w:sz w:val="22"/>
          <w:szCs w:val="22"/>
        </w:rPr>
        <w:t xml:space="preserve">, and maintaining </w:t>
      </w:r>
      <w:r w:rsidRPr="00E12DCD">
        <w:rPr>
          <w:rFonts w:ascii="Bookman Old Style" w:hAnsi="Bookman Old Style"/>
          <w:b/>
          <w:bCs/>
          <w:sz w:val="22"/>
          <w:szCs w:val="22"/>
        </w:rPr>
        <w:t>academic integrity</w:t>
      </w:r>
      <w:r w:rsidRPr="00E12DCD">
        <w:rPr>
          <w:rFonts w:ascii="Bookman Old Style" w:hAnsi="Bookman Old Style"/>
          <w:sz w:val="22"/>
          <w:szCs w:val="22"/>
        </w:rPr>
        <w:t xml:space="preserve"> in online environments are pressing concerns for educators and policymakers. Moreover, there is an ongoing debate about how to balance standardized testing with more holistic and authentic forms of assessment that measure critical thinking, collaboration, creativity, and emotional intelligence—skills essential for success in the modern world.</w:t>
      </w:r>
    </w:p>
    <w:p w14:paraId="6B395E86" w14:textId="79408D05" w:rsidR="003D1775" w:rsidRPr="00EC649C"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 xml:space="preserve">This article aims to explore the evolving landscape of assessment and evaluation in modern education systems. It will examine the purposes, types, and implications of assessment, </w:t>
      </w:r>
      <w:proofErr w:type="spellStart"/>
      <w:r w:rsidRPr="00E12DCD">
        <w:rPr>
          <w:rFonts w:ascii="Bookman Old Style" w:hAnsi="Bookman Old Style"/>
          <w:sz w:val="22"/>
          <w:szCs w:val="22"/>
        </w:rPr>
        <w:t>analyze</w:t>
      </w:r>
      <w:proofErr w:type="spellEnd"/>
      <w:r w:rsidRPr="00E12DCD">
        <w:rPr>
          <w:rFonts w:ascii="Bookman Old Style" w:hAnsi="Bookman Old Style"/>
          <w:sz w:val="22"/>
          <w:szCs w:val="22"/>
        </w:rPr>
        <w:t xml:space="preserve"> the impact of technology, and discuss current trends and challenges. By understanding how assessment practices are changing, educators, administrators, and policymakers can better support student learning and ensure that education remains responsive, inclusive, and effective in preparing learners for the future.</w:t>
      </w:r>
    </w:p>
    <w:p w14:paraId="3F8ED6BC" w14:textId="3274124B" w:rsidR="00FD19FC" w:rsidRDefault="00FD19FC" w:rsidP="00AD5F46">
      <w:pPr>
        <w:pBdr>
          <w:top w:val="nil"/>
          <w:left w:val="nil"/>
          <w:bottom w:val="nil"/>
          <w:right w:val="nil"/>
          <w:between w:val="nil"/>
        </w:pBdr>
        <w:ind w:right="709"/>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MET</w:t>
      </w:r>
      <w:r w:rsidR="001851FF">
        <w:rPr>
          <w:rFonts w:ascii="Bookman Old Style" w:eastAsia="Bookman Old Style" w:hAnsi="Bookman Old Style" w:cs="Bookman Old Style"/>
          <w:b/>
          <w:color w:val="000000"/>
          <w:sz w:val="22"/>
          <w:szCs w:val="22"/>
        </w:rPr>
        <w:t>HOD</w:t>
      </w:r>
    </w:p>
    <w:p w14:paraId="4714CA9E"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This article employs a qualitative, descriptive approach based on an extensive review of relevant literature and existing research on assessment and evaluation practices in modern education systems. The method focuses on synthesizing scholarly articles, policy reports, case studies, and theoretical frameworks to provide a comprehensive understanding of how assessment and evaluation are evolving in response to contemporary educational demands.</w:t>
      </w:r>
    </w:p>
    <w:p w14:paraId="03ADF215"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 xml:space="preserve">Sources were collected from academic databases such as ERIC (Education Resources Information Center), Google Scholar, JSTOR, and ScienceDirect, using keywords including </w:t>
      </w:r>
      <w:r w:rsidRPr="00E12DCD">
        <w:rPr>
          <w:rFonts w:ascii="Bookman Old Style" w:hAnsi="Bookman Old Style"/>
          <w:i/>
          <w:iCs/>
          <w:sz w:val="22"/>
          <w:szCs w:val="22"/>
        </w:rPr>
        <w:t>"educational assessment," "formative and summative evaluation," "21st-century education," "technology in assessment,"</w:t>
      </w:r>
      <w:r w:rsidRPr="00E12DCD">
        <w:rPr>
          <w:rFonts w:ascii="Bookman Old Style" w:hAnsi="Bookman Old Style"/>
          <w:sz w:val="22"/>
          <w:szCs w:val="22"/>
        </w:rPr>
        <w:t xml:space="preserve"> and </w:t>
      </w:r>
      <w:r w:rsidRPr="00E12DCD">
        <w:rPr>
          <w:rFonts w:ascii="Bookman Old Style" w:hAnsi="Bookman Old Style"/>
          <w:i/>
          <w:iCs/>
          <w:sz w:val="22"/>
          <w:szCs w:val="22"/>
        </w:rPr>
        <w:t>"inclusive assessment practices."</w:t>
      </w:r>
      <w:r w:rsidRPr="00E12DCD">
        <w:rPr>
          <w:rFonts w:ascii="Bookman Old Style" w:hAnsi="Bookman Old Style"/>
          <w:sz w:val="22"/>
          <w:szCs w:val="22"/>
        </w:rPr>
        <w:t xml:space="preserve"> Priority was given to literature published within the last ten years (2015–2025) to ensure the inclusion of current trends, technologies, and policy developments. </w:t>
      </w:r>
      <w:r w:rsidRPr="00E12DCD">
        <w:rPr>
          <w:rFonts w:ascii="Bookman Old Style" w:hAnsi="Bookman Old Style"/>
          <w:sz w:val="22"/>
          <w:szCs w:val="22"/>
        </w:rPr>
        <w:lastRenderedPageBreak/>
        <w:t>Foundational works from earlier years were also included when they provided essential theoretical perspectives or historical context.</w:t>
      </w:r>
    </w:p>
    <w:p w14:paraId="432CCB92"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 xml:space="preserve">The collected literature was </w:t>
      </w:r>
      <w:proofErr w:type="spellStart"/>
      <w:r w:rsidRPr="00E12DCD">
        <w:rPr>
          <w:rFonts w:ascii="Bookman Old Style" w:hAnsi="Bookman Old Style"/>
          <w:sz w:val="22"/>
          <w:szCs w:val="22"/>
        </w:rPr>
        <w:t>analyzed</w:t>
      </w:r>
      <w:proofErr w:type="spellEnd"/>
      <w:r w:rsidRPr="00E12DCD">
        <w:rPr>
          <w:rFonts w:ascii="Bookman Old Style" w:hAnsi="Bookman Old Style"/>
          <w:sz w:val="22"/>
          <w:szCs w:val="22"/>
        </w:rPr>
        <w:t xml:space="preserve"> through thematic analysis, allowing the researcher to identify and categorize recurring themes such as the purpose of assessment, the role of technology, inclusivity and equity, challenges in implementation, and emerging trends. Comparative analysis was also conducted to highlight differences and similarities in assessment practices across various education systems, including examples from primary, secondary, and higher education levels.</w:t>
      </w:r>
    </w:p>
    <w:p w14:paraId="288A85DE"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This method provides a broad yet structured exploration of the topic, ensuring that the article captures both the theoretical foundations and practical applications of modern assessment and evaluation. The goal is not only to describe existing practices but also to critically evaluate their effectiveness and relevance in addressing the learning needs of today’s students.</w:t>
      </w:r>
    </w:p>
    <w:p w14:paraId="645C1D6E" w14:textId="77777777" w:rsidR="009970E4" w:rsidRDefault="009970E4" w:rsidP="009970E4">
      <w:pPr>
        <w:pBdr>
          <w:top w:val="nil"/>
          <w:left w:val="nil"/>
          <w:bottom w:val="nil"/>
          <w:right w:val="nil"/>
          <w:between w:val="nil"/>
        </w:pBdr>
        <w:ind w:right="843"/>
        <w:rPr>
          <w:rFonts w:ascii="Bookman Old Style" w:eastAsia="Bookman Old Style" w:hAnsi="Bookman Old Style" w:cs="Bookman Old Style"/>
          <w:bCs/>
          <w:color w:val="000000"/>
          <w:sz w:val="22"/>
          <w:szCs w:val="22"/>
        </w:rPr>
      </w:pPr>
    </w:p>
    <w:p w14:paraId="1463E790" w14:textId="77777777" w:rsidR="00116A01" w:rsidRDefault="001851FF" w:rsidP="00116A01">
      <w:pPr>
        <w:pBdr>
          <w:top w:val="nil"/>
          <w:left w:val="nil"/>
          <w:bottom w:val="nil"/>
          <w:right w:val="nil"/>
          <w:between w:val="nil"/>
        </w:pBdr>
        <w:ind w:right="843"/>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RESULT AND DISCUSSION</w:t>
      </w:r>
    </w:p>
    <w:p w14:paraId="5530156B"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The development of assessment and evaluation practices in modern education systems reflects a dynamic shift in both educational philosophy and instructional strategy. Today’s educational goals emphasize not just academic achievement, but also the cultivation of critical thinking, creativity, communication skills, and digital literacy. As a result, assessment has evolved from being a tool primarily used for grading into a powerful instrument for supporting and enhancing learning.</w:t>
      </w:r>
    </w:p>
    <w:p w14:paraId="30B27FD1"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One of the most noticeable changes is the gradual movement away from traditional, summative assessments—such as standardized tests and final exams—that focus solely on end results. Modern educators increasingly recognize the limitations of these assessments in capturing the full scope of student learning. In their place, formative assessments have gained prominence. These include methods such as reflective journals, group projects, quizzes, presentations, peer reviews, and teacher observations. Unlike summative assessments, these formative strategies are ongoing and offer continuous feedback that helps both teachers and students identify strengths and areas for improvement. This change promotes a more personalized and student-</w:t>
      </w:r>
      <w:proofErr w:type="spellStart"/>
      <w:r w:rsidRPr="00E12DCD">
        <w:rPr>
          <w:rFonts w:ascii="Bookman Old Style" w:hAnsi="Bookman Old Style"/>
          <w:sz w:val="22"/>
          <w:szCs w:val="22"/>
        </w:rPr>
        <w:t>centered</w:t>
      </w:r>
      <w:proofErr w:type="spellEnd"/>
      <w:r w:rsidRPr="00E12DCD">
        <w:rPr>
          <w:rFonts w:ascii="Bookman Old Style" w:hAnsi="Bookman Old Style"/>
          <w:sz w:val="22"/>
          <w:szCs w:val="22"/>
        </w:rPr>
        <w:t xml:space="preserve"> approach to education, where learning is seen as a process rather than a final product.</w:t>
      </w:r>
    </w:p>
    <w:p w14:paraId="4ADE3583"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 xml:space="preserve">Technology has played a pivotal role in this transformation. With the rise of online learning platforms, e-assessment tools, and artificial intelligence, assessment has become more flexible, immediate, and data-driven. Teachers now have access to real-time performance analytics, which enable them to tailor instruction based on individual student progress. Moreover, technology allows for the creation of more interactive and engaging assessments, such as digital portfolios and multimedia presentations. However, this technological integration also brings challenges. Not all students have equal access to digital resources, raising concerns about digital inequality. Additionally, educators must be adequately trained to use these tools </w:t>
      </w:r>
      <w:r w:rsidRPr="00E12DCD">
        <w:rPr>
          <w:rFonts w:ascii="Bookman Old Style" w:hAnsi="Bookman Old Style"/>
          <w:sz w:val="22"/>
          <w:szCs w:val="22"/>
        </w:rPr>
        <w:lastRenderedPageBreak/>
        <w:t>effectively and ethically, ensuring data privacy and avoiding over-reliance on automated systems.</w:t>
      </w:r>
    </w:p>
    <w:p w14:paraId="49B7D275"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Another significant development is the growing emphasis on fairness, inclusivity, and cultural responsiveness in assessment. Traditional standardized tests often fail to accommodate the diverse backgrounds and learning styles of students. Modern approaches strive to be more inclusive, using assessment methods that are adaptable to different needs, such as alternative testing formats for students with disabilities or language support for non-native speakers. This movement aligns with the principles of Universal Design for Learning (UDL), which advocate for flexible and accessible assessment options. Moreover, culturally responsive assessments aim to recognize and respect students' cultural identities, creating a more equitable learning environment.</w:t>
      </w:r>
    </w:p>
    <w:p w14:paraId="2C11B39D"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Despite these advancements, challenges remain. Many educators still face pressure to meet standardized testing requirements, which can limit the time and flexibility needed for more innovative assessment practices. There is also resistance to change, especially in institutions where traditional assessment methods are deeply ingrained. Furthermore, implementing modern assessment practices requires additional training, planning, and resources—factors that are not always readily available, particularly in underfunded or rural school systems.</w:t>
      </w:r>
    </w:p>
    <w:p w14:paraId="3E245119"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Overall, the findings highlight a clear trend toward more meaningful, inclusive, and effective assessment and evaluation practices in education. While traditional methods are still in use, the global shift is moving toward practices that support continuous learning, adapt to student needs, and align with the demands of the 21st-century world. For this transformation to be successful, educators, institutions, and policymakers must work collaboratively to overcome barriers, invest in teacher development, and prioritize the well-being and growth of every learner.</w:t>
      </w:r>
    </w:p>
    <w:p w14:paraId="0A617D55" w14:textId="588B842F" w:rsidR="00116A01" w:rsidRDefault="00116A01" w:rsidP="00116A01">
      <w:pPr>
        <w:spacing w:before="100" w:beforeAutospacing="1" w:after="100" w:afterAutospacing="1"/>
        <w:ind w:right="986"/>
        <w:rPr>
          <w:rFonts w:ascii="Bookman Old Style" w:hAnsi="Bookman Old Style"/>
          <w:sz w:val="22"/>
          <w:szCs w:val="22"/>
        </w:rPr>
      </w:pPr>
    </w:p>
    <w:p w14:paraId="783335D0" w14:textId="77777777" w:rsidR="00116A01" w:rsidRDefault="001851FF" w:rsidP="00116A01">
      <w:pPr>
        <w:spacing w:before="100" w:beforeAutospacing="1" w:after="100" w:afterAutospacing="1"/>
        <w:ind w:right="986"/>
        <w:rPr>
          <w:rFonts w:ascii="Bookman Old Style" w:hAnsi="Bookman Old Style"/>
          <w:sz w:val="22"/>
          <w:szCs w:val="22"/>
        </w:rPr>
      </w:pPr>
      <w:r w:rsidRPr="001851FF">
        <w:rPr>
          <w:rFonts w:ascii="Bookman Old Style" w:eastAsia="Bookman Old Style" w:hAnsi="Bookman Old Style" w:cs="Bookman Old Style"/>
          <w:b/>
          <w:sz w:val="22"/>
          <w:szCs w:val="22"/>
        </w:rPr>
        <w:t>CONCLUSION</w:t>
      </w:r>
    </w:p>
    <w:p w14:paraId="69E993FB"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Assessment and evaluation have become more than just tools for measuring student achievement—they are now essential components of modern education systems that support learning, inform instruction, and guide educational policy. As the goals of education evolve to emphasize not only academic knowledge but also critical thinking, creativity, and real-world problem-solving, assessment practices must adapt accordingly.</w:t>
      </w:r>
    </w:p>
    <w:p w14:paraId="40DEF8FF"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This article has highlighted the ongoing shift from traditional, summative approaches to more formative, student-</w:t>
      </w:r>
      <w:proofErr w:type="spellStart"/>
      <w:r w:rsidRPr="00E12DCD">
        <w:rPr>
          <w:rFonts w:ascii="Bookman Old Style" w:hAnsi="Bookman Old Style"/>
          <w:sz w:val="22"/>
          <w:szCs w:val="22"/>
        </w:rPr>
        <w:t>centered</w:t>
      </w:r>
      <w:proofErr w:type="spellEnd"/>
      <w:r w:rsidRPr="00E12DCD">
        <w:rPr>
          <w:rFonts w:ascii="Bookman Old Style" w:hAnsi="Bookman Old Style"/>
          <w:sz w:val="22"/>
          <w:szCs w:val="22"/>
        </w:rPr>
        <w:t xml:space="preserve"> strategies that provide continuous feedback and encourage deeper engagement with learning. The integration of technology has significantly expanded the possibilities for assessment, allowing for more personalized, interactive, and data-driven approaches. At the same time, modern education systems are increasingly committed to ensuring that assessment practices are fair, inclusive, and responsive to the diverse needs of learners.</w:t>
      </w:r>
    </w:p>
    <w:p w14:paraId="45032F4B" w14:textId="77777777" w:rsidR="00E12DCD" w:rsidRPr="00E12DCD" w:rsidRDefault="00E12DCD" w:rsidP="00E12DCD">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lastRenderedPageBreak/>
        <w:t>Despite these positive changes, the transformation of assessment practices is not without challenges. Issues such as resistance to change, unequal access to technology, lack of teacher training, and the dominance of high-stakes testing in some regions continue to hinder progress. To overcome these obstacles, a collective effort is needed—from educators, administrators, policymakers, and communities—to create assessment systems that truly support meaningful learning for all students.</w:t>
      </w:r>
    </w:p>
    <w:p w14:paraId="6A87A444" w14:textId="6AF5A7D7" w:rsidR="00116A01" w:rsidRPr="00B96305" w:rsidRDefault="00E12DCD" w:rsidP="00B96305">
      <w:pPr>
        <w:spacing w:before="100" w:beforeAutospacing="1" w:after="100" w:afterAutospacing="1"/>
        <w:ind w:right="851"/>
        <w:rPr>
          <w:rFonts w:ascii="Bookman Old Style" w:hAnsi="Bookman Old Style"/>
          <w:sz w:val="22"/>
          <w:szCs w:val="22"/>
        </w:rPr>
      </w:pPr>
      <w:r w:rsidRPr="00E12DCD">
        <w:rPr>
          <w:rFonts w:ascii="Bookman Old Style" w:hAnsi="Bookman Old Style"/>
          <w:sz w:val="22"/>
          <w:szCs w:val="22"/>
        </w:rPr>
        <w:t>In conclusion, the modernization of assessment and evaluation is not just a technical adjustment, but a reflection of deeper educational values: equity, lifelong learning, and the belief that every student has the potential to grow. By embracing innovative, inclusive, and reflective assessment practices, education systems can better prepare students for the complexities of the modern world and foster a culture of learning that is dynamic, just, and forward-thinking.</w:t>
      </w:r>
    </w:p>
    <w:p w14:paraId="7E7B31B4" w14:textId="7F5DFC8A" w:rsidR="006D7C6A" w:rsidRDefault="001851FF" w:rsidP="00FF342B">
      <w:pPr>
        <w:keepNext/>
        <w:keepLines/>
        <w:pBdr>
          <w:top w:val="nil"/>
          <w:left w:val="nil"/>
          <w:bottom w:val="nil"/>
          <w:right w:val="nil"/>
          <w:between w:val="nil"/>
        </w:pBdr>
        <w:spacing w:before="240" w:after="240"/>
        <w:ind w:left="360" w:right="843" w:hanging="360"/>
        <w:jc w:val="left"/>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REFERENCES</w:t>
      </w:r>
    </w:p>
    <w:p w14:paraId="701A11A5" w14:textId="77777777" w:rsidR="00B96305" w:rsidRPr="00B96305" w:rsidRDefault="00B96305" w:rsidP="00B96305">
      <w:pPr>
        <w:ind w:left="567" w:right="992" w:hanging="567"/>
        <w:rPr>
          <w:rFonts w:ascii="Bookman Old Style" w:hAnsi="Bookman Old Style"/>
          <w:sz w:val="22"/>
          <w:szCs w:val="22"/>
        </w:rPr>
      </w:pPr>
      <w:r w:rsidRPr="00B96305">
        <w:rPr>
          <w:rFonts w:ascii="Bookman Old Style" w:hAnsi="Bookman Old Style"/>
          <w:sz w:val="22"/>
          <w:szCs w:val="22"/>
        </w:rPr>
        <w:t>Black, P., &amp; Wiliam, D. (2009). Developing the theory of formative assessment. Educational Assessment, Evaluation and Accountability, 21(1), 5–31. https://doi.org/10.1007/s11092-008-9068-5</w:t>
      </w:r>
    </w:p>
    <w:p w14:paraId="3323D144" w14:textId="77777777" w:rsidR="00B96305" w:rsidRPr="00B96305" w:rsidRDefault="00B96305" w:rsidP="00B96305">
      <w:pPr>
        <w:ind w:left="567" w:right="992" w:hanging="567"/>
        <w:rPr>
          <w:rFonts w:ascii="Bookman Old Style" w:hAnsi="Bookman Old Style"/>
          <w:sz w:val="22"/>
          <w:szCs w:val="22"/>
        </w:rPr>
      </w:pPr>
      <w:r w:rsidRPr="00B96305">
        <w:rPr>
          <w:rFonts w:ascii="Bookman Old Style" w:hAnsi="Bookman Old Style"/>
          <w:sz w:val="22"/>
          <w:szCs w:val="22"/>
        </w:rPr>
        <w:t>Darling-Hammond, L., &amp; Adamson, F. (2014). Beyond the bubble test: How performance assessments support 21st century learning. Jossey-Bass.</w:t>
      </w:r>
    </w:p>
    <w:p w14:paraId="001FEDF5" w14:textId="77777777" w:rsidR="00B96305" w:rsidRPr="00B96305" w:rsidRDefault="00B96305" w:rsidP="00B96305">
      <w:pPr>
        <w:ind w:left="567" w:right="992" w:hanging="567"/>
        <w:rPr>
          <w:rFonts w:ascii="Bookman Old Style" w:hAnsi="Bookman Old Style"/>
          <w:sz w:val="22"/>
          <w:szCs w:val="22"/>
        </w:rPr>
      </w:pPr>
      <w:r w:rsidRPr="00B96305">
        <w:rPr>
          <w:rFonts w:ascii="Bookman Old Style" w:hAnsi="Bookman Old Style"/>
          <w:sz w:val="22"/>
          <w:szCs w:val="22"/>
        </w:rPr>
        <w:t>Heritage, M. (2010). Formative assessment: Making it happen in the classroom. Corwin Press.</w:t>
      </w:r>
    </w:p>
    <w:p w14:paraId="63F871B8" w14:textId="77777777" w:rsidR="00B96305" w:rsidRPr="00B96305" w:rsidRDefault="00B96305" w:rsidP="00B96305">
      <w:pPr>
        <w:ind w:left="567" w:right="992" w:hanging="567"/>
        <w:rPr>
          <w:rFonts w:ascii="Bookman Old Style" w:hAnsi="Bookman Old Style"/>
          <w:sz w:val="22"/>
          <w:szCs w:val="22"/>
        </w:rPr>
      </w:pPr>
      <w:r w:rsidRPr="00B96305">
        <w:rPr>
          <w:rFonts w:ascii="Bookman Old Style" w:hAnsi="Bookman Old Style"/>
          <w:sz w:val="22"/>
          <w:szCs w:val="22"/>
        </w:rPr>
        <w:t xml:space="preserve">Pellegrino, J. W., &amp; </w:t>
      </w:r>
      <w:proofErr w:type="spellStart"/>
      <w:r w:rsidRPr="00B96305">
        <w:rPr>
          <w:rFonts w:ascii="Bookman Old Style" w:hAnsi="Bookman Old Style"/>
          <w:sz w:val="22"/>
          <w:szCs w:val="22"/>
        </w:rPr>
        <w:t>Quellmalz</w:t>
      </w:r>
      <w:proofErr w:type="spellEnd"/>
      <w:r w:rsidRPr="00B96305">
        <w:rPr>
          <w:rFonts w:ascii="Bookman Old Style" w:hAnsi="Bookman Old Style"/>
          <w:sz w:val="22"/>
          <w:szCs w:val="22"/>
        </w:rPr>
        <w:t>, E. S. (2010). Perspectives on the integration of technology and assessment. Journal of Research on Technology in Education, 43(2), 119–134. https://doi.org/10.1080/15391523.2010.10782565</w:t>
      </w:r>
    </w:p>
    <w:p w14:paraId="4D2F9602" w14:textId="77777777" w:rsidR="00B96305" w:rsidRPr="00B96305" w:rsidRDefault="00B96305" w:rsidP="00B96305">
      <w:pPr>
        <w:ind w:left="567" w:right="992" w:hanging="567"/>
        <w:rPr>
          <w:rFonts w:ascii="Bookman Old Style" w:hAnsi="Bookman Old Style"/>
          <w:sz w:val="22"/>
          <w:szCs w:val="22"/>
        </w:rPr>
      </w:pPr>
      <w:r w:rsidRPr="00B96305">
        <w:rPr>
          <w:rFonts w:ascii="Bookman Old Style" w:hAnsi="Bookman Old Style"/>
          <w:sz w:val="22"/>
          <w:szCs w:val="22"/>
        </w:rPr>
        <w:t>OECD. (2013). Synergies for better learning: An international perspective on evaluation and assessment. OECD Publishing. https://doi.org/10.1787/9789264190658-en</w:t>
      </w:r>
    </w:p>
    <w:p w14:paraId="359A9DC0" w14:textId="77777777" w:rsidR="00B96305" w:rsidRPr="00B96305" w:rsidRDefault="00B96305" w:rsidP="00B96305">
      <w:pPr>
        <w:ind w:left="567" w:right="992" w:hanging="567"/>
        <w:rPr>
          <w:rFonts w:ascii="Bookman Old Style" w:hAnsi="Bookman Old Style"/>
          <w:sz w:val="22"/>
          <w:szCs w:val="22"/>
        </w:rPr>
      </w:pPr>
      <w:r w:rsidRPr="00B96305">
        <w:rPr>
          <w:rFonts w:ascii="Bookman Old Style" w:hAnsi="Bookman Old Style"/>
          <w:sz w:val="22"/>
          <w:szCs w:val="22"/>
        </w:rPr>
        <w:t xml:space="preserve">Stiggins, R. J. (2005). From formative assessment to assessment FOR learning: A path to success in standards-based schools. Phi Delta </w:t>
      </w:r>
      <w:proofErr w:type="spellStart"/>
      <w:r w:rsidRPr="00B96305">
        <w:rPr>
          <w:rFonts w:ascii="Bookman Old Style" w:hAnsi="Bookman Old Style"/>
          <w:sz w:val="22"/>
          <w:szCs w:val="22"/>
        </w:rPr>
        <w:t>Kappan</w:t>
      </w:r>
      <w:proofErr w:type="spellEnd"/>
      <w:r w:rsidRPr="00B96305">
        <w:rPr>
          <w:rFonts w:ascii="Bookman Old Style" w:hAnsi="Bookman Old Style"/>
          <w:sz w:val="22"/>
          <w:szCs w:val="22"/>
        </w:rPr>
        <w:t>, 87(4), 324–328. https://doi.org/10.1177/003172170508700414</w:t>
      </w:r>
    </w:p>
    <w:p w14:paraId="07A28C1F" w14:textId="77777777" w:rsidR="00B96305" w:rsidRPr="00B96305" w:rsidRDefault="00B96305" w:rsidP="00B96305">
      <w:pPr>
        <w:ind w:left="567" w:right="992" w:hanging="567"/>
        <w:rPr>
          <w:rFonts w:ascii="Bookman Old Style" w:hAnsi="Bookman Old Style"/>
          <w:sz w:val="22"/>
          <w:szCs w:val="22"/>
        </w:rPr>
      </w:pPr>
      <w:r w:rsidRPr="00B96305">
        <w:rPr>
          <w:rFonts w:ascii="Bookman Old Style" w:hAnsi="Bookman Old Style"/>
          <w:sz w:val="22"/>
          <w:szCs w:val="22"/>
        </w:rPr>
        <w:t>Tomlinson, C. A., &amp; Moon, T. R. (2013). Assessment and student success in a differentiated classroom. ASCD.</w:t>
      </w:r>
    </w:p>
    <w:p w14:paraId="01E62BAD" w14:textId="77777777" w:rsidR="00B96305" w:rsidRPr="00B96305" w:rsidRDefault="00B96305" w:rsidP="00B96305">
      <w:pPr>
        <w:ind w:left="567" w:right="992" w:hanging="567"/>
        <w:rPr>
          <w:rFonts w:ascii="Bookman Old Style" w:hAnsi="Bookman Old Style"/>
          <w:sz w:val="22"/>
          <w:szCs w:val="22"/>
        </w:rPr>
      </w:pPr>
      <w:r w:rsidRPr="00B96305">
        <w:rPr>
          <w:rFonts w:ascii="Bookman Old Style" w:hAnsi="Bookman Old Style"/>
          <w:sz w:val="22"/>
          <w:szCs w:val="22"/>
        </w:rPr>
        <w:t xml:space="preserve">UNESCO. (2021). Reimagining our futures together: A new social contract for education. </w:t>
      </w:r>
      <w:hyperlink r:id="rId16" w:tgtFrame="_new" w:history="1">
        <w:r w:rsidRPr="00B96305">
          <w:rPr>
            <w:rStyle w:val="Hyperlink"/>
            <w:rFonts w:ascii="Bookman Old Style" w:hAnsi="Bookman Old Style"/>
            <w:sz w:val="22"/>
            <w:szCs w:val="22"/>
          </w:rPr>
          <w:t>https://unesdoc.unesco.org/ark:/48223/pf0000379707</w:t>
        </w:r>
      </w:hyperlink>
    </w:p>
    <w:p w14:paraId="762637FA" w14:textId="77777777" w:rsidR="00B96305" w:rsidRPr="00B96305" w:rsidRDefault="00B96305" w:rsidP="00B96305">
      <w:pPr>
        <w:ind w:left="567" w:right="992" w:hanging="567"/>
        <w:rPr>
          <w:rFonts w:ascii="Bookman Old Style" w:hAnsi="Bookman Old Style"/>
          <w:sz w:val="22"/>
          <w:szCs w:val="22"/>
        </w:rPr>
      </w:pPr>
      <w:r w:rsidRPr="00B96305">
        <w:rPr>
          <w:rFonts w:ascii="Bookman Old Style" w:hAnsi="Bookman Old Style"/>
          <w:sz w:val="22"/>
          <w:szCs w:val="22"/>
        </w:rPr>
        <w:t>Wiliam, D. (2011). Embedded formative assessment. Solution Tree Press.</w:t>
      </w:r>
    </w:p>
    <w:p w14:paraId="6E063D38" w14:textId="55C7E146" w:rsidR="005A3ABF" w:rsidRPr="005A3ABF" w:rsidRDefault="005A3ABF" w:rsidP="00B96305">
      <w:pPr>
        <w:spacing w:before="100" w:beforeAutospacing="1" w:after="100" w:afterAutospacing="1"/>
        <w:ind w:left="709" w:right="851" w:hanging="709"/>
        <w:rPr>
          <w:rFonts w:eastAsia="Garamond"/>
          <w:lang w:val="en-US" w:eastAsia="en-US"/>
        </w:rPr>
      </w:pPr>
    </w:p>
    <w:sectPr w:rsidR="005A3ABF" w:rsidRPr="005A3ABF" w:rsidSect="00B96305">
      <w:headerReference w:type="even" r:id="rId17"/>
      <w:type w:val="continuous"/>
      <w:pgSz w:w="11900" w:h="16840"/>
      <w:pgMar w:top="1134" w:right="843" w:bottom="1134" w:left="1134" w:header="567" w:footer="850" w:gutter="0"/>
      <w:pgNumType w:start="15"/>
      <w:cols w:space="56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0B3CD" w14:textId="77777777" w:rsidR="00141EED" w:rsidRDefault="00141EED">
      <w:pPr>
        <w:spacing w:line="240" w:lineRule="auto"/>
      </w:pPr>
      <w:r>
        <w:separator/>
      </w:r>
    </w:p>
  </w:endnote>
  <w:endnote w:type="continuationSeparator" w:id="0">
    <w:p w14:paraId="00A926C6" w14:textId="77777777" w:rsidR="00141EED" w:rsidRDefault="00141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altName w:val="Calisto"/>
    <w:panose1 w:val="0204060305050503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08D72" w14:textId="7CF0723C" w:rsidR="006D7C6A" w:rsidRDefault="004A03E7" w:rsidP="00AD5F46">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C920F4">
      <w:rPr>
        <w:noProof/>
        <w:color w:val="000000"/>
      </w:rPr>
      <w:t>2</w:t>
    </w:r>
    <w:r>
      <w:rPr>
        <w:color w:val="000000"/>
      </w:rPr>
      <w:fldChar w:fldCharType="end"/>
    </w:r>
    <w:r w:rsidR="00AD5F46">
      <w:rPr>
        <w:color w:val="000000"/>
      </w:rPr>
      <w:t xml:space="preserve"> </w:t>
    </w:r>
    <w:proofErr w:type="spellStart"/>
    <w:r w:rsidR="00B96305">
      <w:rPr>
        <w:color w:val="000000"/>
      </w:rPr>
      <w:t>Diyah</w:t>
    </w:r>
    <w:proofErr w:type="spellEnd"/>
    <w:r w:rsidR="00B96305">
      <w:rPr>
        <w:color w:val="000000"/>
      </w:rPr>
      <w:t xml:space="preserve"> Novita</w:t>
    </w:r>
    <w:r>
      <w:rPr>
        <w:color w:val="000000"/>
      </w:rPr>
      <w:tab/>
    </w:r>
    <w:r>
      <w:rPr>
        <w:color w:val="000000"/>
      </w:rPr>
      <w:tab/>
    </w:r>
    <w:hyperlink r:id="rId1">
      <w:r>
        <w:rPr>
          <w:color w:val="0563C1"/>
          <w:u w:val="single"/>
        </w:rPr>
        <w:t>https://jurnal.rahiscendekiaindonesia.co.id/index.php/ontologi</w:t>
      </w:r>
    </w:hyperlink>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B017B" w14:textId="25A77A76" w:rsidR="00116A01" w:rsidRPr="00B96305" w:rsidRDefault="004A03E7" w:rsidP="00B96305">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C920F4">
      <w:rPr>
        <w:noProof/>
        <w:color w:val="000000"/>
      </w:rPr>
      <w:t>3</w:t>
    </w:r>
    <w:r>
      <w:rPr>
        <w:color w:val="000000"/>
      </w:rPr>
      <w:fldChar w:fldCharType="end"/>
    </w:r>
    <w:r w:rsidR="00B96305">
      <w:rPr>
        <w:color w:val="000000"/>
      </w:rPr>
      <w:t xml:space="preserve"> </w:t>
    </w:r>
    <w:hyperlink r:id="rId1" w:history="1">
      <w:r w:rsidR="00B96305" w:rsidRPr="002408E8">
        <w:rPr>
          <w:rStyle w:val="Hyperlink"/>
        </w:rPr>
        <w:t>https://jurnal.rahiscendekiaindonesia.co.id/index.php/ontologi</w:t>
      </w:r>
    </w:hyperlink>
    <w:r>
      <w:rPr>
        <w:color w:val="000000"/>
      </w:rPr>
      <w:t xml:space="preserve"> </w:t>
    </w:r>
    <w:r>
      <w:rPr>
        <w:color w:val="000000"/>
        <w:sz w:val="16"/>
        <w:szCs w:val="16"/>
      </w:rPr>
      <w:tab/>
    </w:r>
    <w:proofErr w:type="spellStart"/>
    <w:r w:rsidR="00B96305" w:rsidRPr="00B96305">
      <w:rPr>
        <w:color w:val="000000"/>
      </w:rPr>
      <w:t>Diyah</w:t>
    </w:r>
    <w:proofErr w:type="spellEnd"/>
    <w:r w:rsidR="00B96305" w:rsidRPr="00B96305">
      <w:rPr>
        <w:color w:val="000000"/>
      </w:rPr>
      <w:t xml:space="preserve"> Novita</w:t>
    </w:r>
  </w:p>
  <w:p w14:paraId="04BFF3DC" w14:textId="4ED4A30D" w:rsidR="006D7C6A" w:rsidRDefault="006D7C6A">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F91F0" w14:textId="2188DF7D" w:rsidR="006D7C6A" w:rsidRDefault="00141EED">
    <w:pPr>
      <w:pBdr>
        <w:top w:val="nil"/>
        <w:left w:val="nil"/>
        <w:bottom w:val="nil"/>
        <w:right w:val="nil"/>
        <w:between w:val="nil"/>
      </w:pBdr>
      <w:tabs>
        <w:tab w:val="center" w:pos="4680"/>
        <w:tab w:val="right" w:pos="9360"/>
        <w:tab w:val="right" w:pos="9915"/>
      </w:tabs>
      <w:jc w:val="center"/>
      <w:rPr>
        <w:color w:val="000000"/>
        <w:sz w:val="16"/>
        <w:szCs w:val="16"/>
      </w:rPr>
    </w:pPr>
    <w:hyperlink r:id="rId1">
      <w:r w:rsidR="004A03E7">
        <w:rPr>
          <w:color w:val="0563C1"/>
          <w:u w:val="single"/>
        </w:rPr>
        <w:t>https://jurnal.rahiscendekiaindonesia.co.id/index.php/ontologi</w:t>
      </w:r>
    </w:hyperlink>
    <w:r w:rsidR="004A03E7">
      <w:rPr>
        <w:color w:val="000000"/>
      </w:rPr>
      <w:t xml:space="preserve"> </w:t>
    </w:r>
    <w:r w:rsidR="004A03E7">
      <w:rPr>
        <w:color w:val="000000"/>
        <w:sz w:val="16"/>
        <w:szCs w:val="16"/>
      </w:rPr>
      <w:tab/>
    </w:r>
    <w:r w:rsidR="004A03E7">
      <w:rPr>
        <w:color w:val="000000"/>
        <w:sz w:val="16"/>
        <w:szCs w:val="16"/>
      </w:rPr>
      <w:tab/>
      <w:t>Copyright ©20</w:t>
    </w:r>
    <w:r w:rsidR="00BD31C7">
      <w:rPr>
        <w:color w:val="000000"/>
        <w:sz w:val="16"/>
        <w:szCs w:val="16"/>
      </w:rPr>
      <w:t>2</w:t>
    </w:r>
    <w:r w:rsidR="00AD65E6">
      <w:rPr>
        <w:color w:val="00000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755AA" w14:textId="77777777" w:rsidR="00141EED" w:rsidRDefault="00141EED">
      <w:pPr>
        <w:spacing w:line="240" w:lineRule="auto"/>
      </w:pPr>
      <w:r>
        <w:separator/>
      </w:r>
    </w:p>
  </w:footnote>
  <w:footnote w:type="continuationSeparator" w:id="0">
    <w:p w14:paraId="18B65A9C" w14:textId="77777777" w:rsidR="00141EED" w:rsidRDefault="00141E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51347" w14:textId="0EC8B1C7" w:rsidR="006D7C6A" w:rsidRPr="005A3ABF" w:rsidRDefault="00AD65E6" w:rsidP="00AD65E6">
    <w:pPr>
      <w:pStyle w:val="Header"/>
      <w:jc w:val="center"/>
    </w:pPr>
    <w:r>
      <w:rPr>
        <w:smallCaps/>
        <w:color w:val="808080"/>
        <w:sz w:val="13"/>
        <w:szCs w:val="13"/>
      </w:rPr>
      <w:t xml:space="preserve">ONTOLOGI – </w:t>
    </w:r>
    <w:proofErr w:type="spellStart"/>
    <w:r>
      <w:rPr>
        <w:smallCaps/>
        <w:color w:val="808080"/>
        <w:sz w:val="13"/>
        <w:szCs w:val="13"/>
      </w:rPr>
      <w:t>Jurnal</w:t>
    </w:r>
    <w:proofErr w:type="spellEnd"/>
    <w:r>
      <w:rPr>
        <w:smallCaps/>
        <w:color w:val="808080"/>
        <w:sz w:val="13"/>
        <w:szCs w:val="13"/>
      </w:rPr>
      <w:t xml:space="preserve"> </w:t>
    </w:r>
    <w:proofErr w:type="spellStart"/>
    <w:r>
      <w:rPr>
        <w:smallCaps/>
        <w:color w:val="808080"/>
        <w:sz w:val="13"/>
        <w:szCs w:val="13"/>
      </w:rPr>
      <w:t>Pembelajaran</w:t>
    </w:r>
    <w:proofErr w:type="spellEnd"/>
    <w:r>
      <w:rPr>
        <w:smallCaps/>
        <w:color w:val="808080"/>
        <w:sz w:val="13"/>
        <w:szCs w:val="13"/>
      </w:rPr>
      <w:t xml:space="preserve"> dan Iliah </w:t>
    </w:r>
    <w:proofErr w:type="spellStart"/>
    <w:proofErr w:type="gramStart"/>
    <w:r>
      <w:rPr>
        <w:smallCaps/>
        <w:color w:val="808080"/>
        <w:sz w:val="13"/>
        <w:szCs w:val="13"/>
      </w:rPr>
      <w:t>Kependidikan</w:t>
    </w:r>
    <w:proofErr w:type="spellEnd"/>
    <w:r>
      <w:rPr>
        <w:smallCaps/>
        <w:color w:val="808080"/>
        <w:sz w:val="13"/>
        <w:szCs w:val="13"/>
      </w:rPr>
      <w:t xml:space="preserve">  Vol.</w:t>
    </w:r>
    <w:proofErr w:type="gramEnd"/>
    <w:r>
      <w:rPr>
        <w:smallCaps/>
        <w:color w:val="808080"/>
        <w:sz w:val="13"/>
        <w:szCs w:val="13"/>
      </w:rPr>
      <w:t xml:space="preserve"> 03  Issue 01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6CB6" w14:textId="04DC3422" w:rsidR="006D7C6A" w:rsidRPr="00AD65E6" w:rsidRDefault="00AD65E6" w:rsidP="00AD65E6">
    <w:pPr>
      <w:pStyle w:val="Header"/>
      <w:jc w:val="center"/>
    </w:pPr>
    <w:r>
      <w:rPr>
        <w:smallCaps/>
        <w:color w:val="808080"/>
        <w:sz w:val="13"/>
        <w:szCs w:val="13"/>
      </w:rPr>
      <w:t xml:space="preserve">ONTOLOGI – </w:t>
    </w:r>
    <w:proofErr w:type="spellStart"/>
    <w:r>
      <w:rPr>
        <w:smallCaps/>
        <w:color w:val="808080"/>
        <w:sz w:val="13"/>
        <w:szCs w:val="13"/>
      </w:rPr>
      <w:t>Jurnal</w:t>
    </w:r>
    <w:proofErr w:type="spellEnd"/>
    <w:r>
      <w:rPr>
        <w:smallCaps/>
        <w:color w:val="808080"/>
        <w:sz w:val="13"/>
        <w:szCs w:val="13"/>
      </w:rPr>
      <w:t xml:space="preserve"> </w:t>
    </w:r>
    <w:proofErr w:type="spellStart"/>
    <w:r>
      <w:rPr>
        <w:smallCaps/>
        <w:color w:val="808080"/>
        <w:sz w:val="13"/>
        <w:szCs w:val="13"/>
      </w:rPr>
      <w:t>Pembelajaran</w:t>
    </w:r>
    <w:proofErr w:type="spellEnd"/>
    <w:r>
      <w:rPr>
        <w:smallCaps/>
        <w:color w:val="808080"/>
        <w:sz w:val="13"/>
        <w:szCs w:val="13"/>
      </w:rPr>
      <w:t xml:space="preserve"> dan Iliah </w:t>
    </w:r>
    <w:proofErr w:type="spellStart"/>
    <w:proofErr w:type="gramStart"/>
    <w:r>
      <w:rPr>
        <w:smallCaps/>
        <w:color w:val="808080"/>
        <w:sz w:val="13"/>
        <w:szCs w:val="13"/>
      </w:rPr>
      <w:t>Kependidikan</w:t>
    </w:r>
    <w:proofErr w:type="spellEnd"/>
    <w:r>
      <w:rPr>
        <w:smallCaps/>
        <w:color w:val="808080"/>
        <w:sz w:val="13"/>
        <w:szCs w:val="13"/>
      </w:rPr>
      <w:t xml:space="preserve">  Vol.</w:t>
    </w:r>
    <w:proofErr w:type="gramEnd"/>
    <w:r>
      <w:rPr>
        <w:smallCaps/>
        <w:color w:val="808080"/>
        <w:sz w:val="13"/>
        <w:szCs w:val="13"/>
      </w:rPr>
      <w:t xml:space="preserve"> 03  Issue 01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CAB9D" w14:textId="77777777" w:rsidR="006D7C6A" w:rsidRDefault="006D7C6A">
    <w:pPr>
      <w:widowControl w:val="0"/>
      <w:pBdr>
        <w:top w:val="nil"/>
        <w:left w:val="nil"/>
        <w:bottom w:val="nil"/>
        <w:right w:val="nil"/>
        <w:between w:val="nil"/>
      </w:pBdr>
      <w:jc w:val="left"/>
      <w:rPr>
        <w:color w:val="000000"/>
      </w:rPr>
    </w:pPr>
  </w:p>
  <w:tbl>
    <w:tblPr>
      <w:tblStyle w:val="a2"/>
      <w:tblW w:w="995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666"/>
      <w:gridCol w:w="7023"/>
      <w:gridCol w:w="1261"/>
    </w:tblGrid>
    <w:tr w:rsidR="006D7C6A" w14:paraId="3D0B2DD3" w14:textId="77777777">
      <w:trPr>
        <w:trHeight w:val="281"/>
      </w:trPr>
      <w:tc>
        <w:tcPr>
          <w:tcW w:w="9950" w:type="dxa"/>
          <w:gridSpan w:val="3"/>
          <w:tcBorders>
            <w:bottom w:val="single" w:sz="4" w:space="0" w:color="000000"/>
          </w:tcBorders>
        </w:tcPr>
        <w:p w14:paraId="78505649" w14:textId="42942EAE" w:rsidR="006D7C6A" w:rsidRDefault="004A03E7">
          <w:pPr>
            <w:pBdr>
              <w:top w:val="nil"/>
              <w:left w:val="nil"/>
              <w:bottom w:val="nil"/>
              <w:right w:val="nil"/>
              <w:between w:val="nil"/>
            </w:pBdr>
            <w:tabs>
              <w:tab w:val="center" w:pos="4680"/>
              <w:tab w:val="right" w:pos="9360"/>
            </w:tabs>
            <w:jc w:val="center"/>
            <w:rPr>
              <w:smallCaps/>
              <w:color w:val="808080"/>
              <w:sz w:val="13"/>
              <w:szCs w:val="13"/>
            </w:rPr>
          </w:pPr>
          <w:r>
            <w:rPr>
              <w:smallCaps/>
              <w:color w:val="808080"/>
              <w:sz w:val="13"/>
              <w:szCs w:val="13"/>
            </w:rPr>
            <w:t xml:space="preserve">ONTOLOGI – </w:t>
          </w:r>
          <w:proofErr w:type="spellStart"/>
          <w:r>
            <w:rPr>
              <w:smallCaps/>
              <w:color w:val="808080"/>
              <w:sz w:val="13"/>
              <w:szCs w:val="13"/>
            </w:rPr>
            <w:t>Jurnal</w:t>
          </w:r>
          <w:proofErr w:type="spellEnd"/>
          <w:r>
            <w:rPr>
              <w:smallCaps/>
              <w:color w:val="808080"/>
              <w:sz w:val="13"/>
              <w:szCs w:val="13"/>
            </w:rPr>
            <w:t xml:space="preserve"> </w:t>
          </w:r>
          <w:proofErr w:type="spellStart"/>
          <w:r>
            <w:rPr>
              <w:smallCaps/>
              <w:color w:val="808080"/>
              <w:sz w:val="13"/>
              <w:szCs w:val="13"/>
            </w:rPr>
            <w:t>Pembelajaran</w:t>
          </w:r>
          <w:proofErr w:type="spellEnd"/>
          <w:r>
            <w:rPr>
              <w:smallCaps/>
              <w:color w:val="808080"/>
              <w:sz w:val="13"/>
              <w:szCs w:val="13"/>
            </w:rPr>
            <w:t xml:space="preserve"> dan Iliah </w:t>
          </w:r>
          <w:proofErr w:type="spellStart"/>
          <w:proofErr w:type="gramStart"/>
          <w:r>
            <w:rPr>
              <w:smallCaps/>
              <w:color w:val="808080"/>
              <w:sz w:val="13"/>
              <w:szCs w:val="13"/>
            </w:rPr>
            <w:t>Kependidikan</w:t>
          </w:r>
          <w:proofErr w:type="spellEnd"/>
          <w:r>
            <w:rPr>
              <w:smallCaps/>
              <w:color w:val="808080"/>
              <w:sz w:val="13"/>
              <w:szCs w:val="13"/>
            </w:rPr>
            <w:t xml:space="preserve">  Vol.</w:t>
          </w:r>
          <w:proofErr w:type="gramEnd"/>
          <w:r>
            <w:rPr>
              <w:smallCaps/>
              <w:color w:val="808080"/>
              <w:sz w:val="13"/>
              <w:szCs w:val="13"/>
            </w:rPr>
            <w:t xml:space="preserve"> </w:t>
          </w:r>
          <w:r w:rsidR="00C920F4">
            <w:rPr>
              <w:smallCaps/>
              <w:color w:val="808080"/>
              <w:sz w:val="13"/>
              <w:szCs w:val="13"/>
            </w:rPr>
            <w:t>0</w:t>
          </w:r>
          <w:r w:rsidR="00AD65E6">
            <w:rPr>
              <w:smallCaps/>
              <w:color w:val="808080"/>
              <w:sz w:val="13"/>
              <w:szCs w:val="13"/>
            </w:rPr>
            <w:t>3</w:t>
          </w:r>
          <w:r>
            <w:rPr>
              <w:smallCaps/>
              <w:color w:val="808080"/>
              <w:sz w:val="13"/>
              <w:szCs w:val="13"/>
            </w:rPr>
            <w:t xml:space="preserve">  Issue </w:t>
          </w:r>
          <w:r w:rsidR="00C920F4">
            <w:rPr>
              <w:smallCaps/>
              <w:color w:val="808080"/>
              <w:sz w:val="13"/>
              <w:szCs w:val="13"/>
            </w:rPr>
            <w:t>0</w:t>
          </w:r>
          <w:r w:rsidR="00AD65E6">
            <w:rPr>
              <w:smallCaps/>
              <w:color w:val="808080"/>
              <w:sz w:val="13"/>
              <w:szCs w:val="13"/>
            </w:rPr>
            <w:t>1</w:t>
          </w:r>
          <w:r w:rsidR="00C920F4">
            <w:rPr>
              <w:smallCaps/>
              <w:color w:val="808080"/>
              <w:sz w:val="13"/>
              <w:szCs w:val="13"/>
            </w:rPr>
            <w:t xml:space="preserve"> </w:t>
          </w:r>
          <w:r w:rsidR="001851FF">
            <w:rPr>
              <w:smallCaps/>
              <w:color w:val="808080"/>
              <w:sz w:val="13"/>
              <w:szCs w:val="13"/>
            </w:rPr>
            <w:t>(202</w:t>
          </w:r>
          <w:r w:rsidR="00AD65E6">
            <w:rPr>
              <w:smallCaps/>
              <w:color w:val="808080"/>
              <w:sz w:val="13"/>
              <w:szCs w:val="13"/>
            </w:rPr>
            <w:t>5</w:t>
          </w:r>
          <w:r w:rsidR="001851FF">
            <w:rPr>
              <w:smallCaps/>
              <w:color w:val="808080"/>
              <w:sz w:val="13"/>
              <w:szCs w:val="13"/>
            </w:rPr>
            <w:t>)</w:t>
          </w:r>
        </w:p>
      </w:tc>
    </w:tr>
    <w:tr w:rsidR="006D7C6A" w14:paraId="54926665" w14:textId="77777777">
      <w:trPr>
        <w:trHeight w:val="143"/>
      </w:trPr>
      <w:tc>
        <w:tcPr>
          <w:tcW w:w="9950" w:type="dxa"/>
          <w:gridSpan w:val="3"/>
          <w:tcBorders>
            <w:top w:val="single" w:sz="4" w:space="0" w:color="000000"/>
          </w:tcBorders>
        </w:tcPr>
        <w:p w14:paraId="70E9CE0B" w14:textId="77777777" w:rsidR="006D7C6A" w:rsidRDefault="006D7C6A">
          <w:pPr>
            <w:pBdr>
              <w:top w:val="nil"/>
              <w:left w:val="nil"/>
              <w:bottom w:val="nil"/>
              <w:right w:val="nil"/>
              <w:between w:val="nil"/>
            </w:pBdr>
            <w:tabs>
              <w:tab w:val="center" w:pos="4680"/>
              <w:tab w:val="right" w:pos="9360"/>
            </w:tabs>
            <w:jc w:val="center"/>
            <w:rPr>
              <w:color w:val="808080"/>
              <w:sz w:val="13"/>
              <w:szCs w:val="13"/>
            </w:rPr>
          </w:pPr>
        </w:p>
      </w:tc>
    </w:tr>
    <w:tr w:rsidR="006D7C6A" w14:paraId="6FF969D6" w14:textId="77777777">
      <w:trPr>
        <w:trHeight w:val="1124"/>
      </w:trPr>
      <w:tc>
        <w:tcPr>
          <w:tcW w:w="1666" w:type="dxa"/>
          <w:vAlign w:val="center"/>
        </w:tcPr>
        <w:p w14:paraId="0F6F07D6" w14:textId="77777777" w:rsidR="006D7C6A" w:rsidRDefault="004A03E7">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1EA086F1" wp14:editId="0F6589AB">
                <wp:extent cx="920750" cy="92075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20750" cy="920750"/>
                        </a:xfrm>
                        <a:prstGeom prst="rect">
                          <a:avLst/>
                        </a:prstGeom>
                        <a:ln/>
                      </pic:spPr>
                    </pic:pic>
                  </a:graphicData>
                </a:graphic>
              </wp:inline>
            </w:drawing>
          </w:r>
        </w:p>
      </w:tc>
      <w:tc>
        <w:tcPr>
          <w:tcW w:w="7023" w:type="dxa"/>
          <w:shd w:val="clear" w:color="auto" w:fill="D9D9D9"/>
          <w:vAlign w:val="center"/>
        </w:tcPr>
        <w:p w14:paraId="318C59BC" w14:textId="77777777" w:rsidR="006D7C6A" w:rsidRDefault="004A03E7">
          <w:pPr>
            <w:pBdr>
              <w:top w:val="nil"/>
              <w:left w:val="nil"/>
              <w:bottom w:val="nil"/>
              <w:right w:val="nil"/>
              <w:between w:val="nil"/>
            </w:pBdr>
            <w:tabs>
              <w:tab w:val="center" w:pos="4680"/>
              <w:tab w:val="right" w:pos="9360"/>
            </w:tabs>
            <w:spacing w:before="120" w:after="120"/>
            <w:jc w:val="center"/>
            <w:rPr>
              <w:rFonts w:ascii="Arial Black" w:eastAsia="Arial Black" w:hAnsi="Arial Black" w:cs="Arial Black"/>
              <w:b/>
              <w:color w:val="7030A0"/>
              <w:sz w:val="32"/>
              <w:szCs w:val="32"/>
            </w:rPr>
          </w:pPr>
          <w:r>
            <w:rPr>
              <w:rFonts w:ascii="Arial Black" w:eastAsia="Arial Black" w:hAnsi="Arial Black" w:cs="Arial Black"/>
              <w:b/>
              <w:color w:val="7030A0"/>
              <w:sz w:val="32"/>
              <w:szCs w:val="32"/>
            </w:rPr>
            <w:t>ONTOLOGI</w:t>
          </w:r>
        </w:p>
        <w:p w14:paraId="705B5597" w14:textId="77777777" w:rsidR="006D7C6A" w:rsidRDefault="004A03E7">
          <w:pPr>
            <w:pBdr>
              <w:top w:val="nil"/>
              <w:left w:val="nil"/>
              <w:bottom w:val="nil"/>
              <w:right w:val="nil"/>
              <w:between w:val="nil"/>
            </w:pBdr>
            <w:tabs>
              <w:tab w:val="center" w:pos="4680"/>
              <w:tab w:val="right" w:pos="9360"/>
            </w:tabs>
            <w:spacing w:before="120" w:after="120"/>
            <w:jc w:val="center"/>
            <w:rPr>
              <w:b/>
              <w:color w:val="000000"/>
              <w:sz w:val="28"/>
              <w:szCs w:val="28"/>
            </w:rPr>
          </w:pPr>
          <w:proofErr w:type="spellStart"/>
          <w:r>
            <w:rPr>
              <w:b/>
              <w:color w:val="000000"/>
              <w:sz w:val="28"/>
              <w:szCs w:val="28"/>
            </w:rPr>
            <w:t>Jurnal</w:t>
          </w:r>
          <w:proofErr w:type="spellEnd"/>
          <w:r>
            <w:rPr>
              <w:b/>
              <w:color w:val="000000"/>
              <w:sz w:val="28"/>
              <w:szCs w:val="28"/>
            </w:rPr>
            <w:t xml:space="preserve"> </w:t>
          </w:r>
          <w:proofErr w:type="spellStart"/>
          <w:r>
            <w:rPr>
              <w:b/>
              <w:color w:val="000000"/>
              <w:sz w:val="28"/>
              <w:szCs w:val="28"/>
            </w:rPr>
            <w:t>Pembelajaran</w:t>
          </w:r>
          <w:proofErr w:type="spellEnd"/>
          <w:r>
            <w:rPr>
              <w:b/>
              <w:color w:val="000000"/>
              <w:sz w:val="28"/>
              <w:szCs w:val="28"/>
            </w:rPr>
            <w:t xml:space="preserve"> dan </w:t>
          </w:r>
          <w:proofErr w:type="spellStart"/>
          <w:r>
            <w:rPr>
              <w:b/>
              <w:color w:val="000000"/>
              <w:sz w:val="28"/>
              <w:szCs w:val="28"/>
            </w:rPr>
            <w:t>Ilmiah</w:t>
          </w:r>
          <w:proofErr w:type="spellEnd"/>
          <w:r>
            <w:rPr>
              <w:b/>
              <w:color w:val="000000"/>
              <w:sz w:val="28"/>
              <w:szCs w:val="28"/>
            </w:rPr>
            <w:t xml:space="preserve"> </w:t>
          </w:r>
          <w:proofErr w:type="spellStart"/>
          <w:r>
            <w:rPr>
              <w:b/>
              <w:color w:val="000000"/>
              <w:sz w:val="28"/>
              <w:szCs w:val="28"/>
            </w:rPr>
            <w:t>Kependidikan</w:t>
          </w:r>
          <w:proofErr w:type="spellEnd"/>
          <w:r>
            <w:rPr>
              <w:b/>
              <w:color w:val="000000"/>
              <w:sz w:val="28"/>
              <w:szCs w:val="28"/>
            </w:rPr>
            <w:t xml:space="preserve"> </w:t>
          </w:r>
        </w:p>
        <w:p w14:paraId="7AEF68F4" w14:textId="4E9A4DF6" w:rsidR="006D7C6A" w:rsidRDefault="004A03E7">
          <w:pPr>
            <w:pBdr>
              <w:top w:val="nil"/>
              <w:left w:val="nil"/>
              <w:bottom w:val="nil"/>
              <w:right w:val="nil"/>
              <w:between w:val="nil"/>
            </w:pBdr>
            <w:tabs>
              <w:tab w:val="center" w:pos="4680"/>
              <w:tab w:val="right" w:pos="9360"/>
            </w:tabs>
            <w:spacing w:line="240" w:lineRule="auto"/>
            <w:jc w:val="center"/>
            <w:rPr>
              <w:color w:val="000000"/>
            </w:rPr>
          </w:pPr>
          <w:r>
            <w:rPr>
              <w:color w:val="000000"/>
            </w:rPr>
            <w:t>| e-ISSN:</w:t>
          </w:r>
          <w:r w:rsidR="00C920F4" w:rsidRPr="00C920F4">
            <w:t xml:space="preserve">  </w:t>
          </w:r>
          <w:hyperlink r:id="rId2" w:history="1">
            <w:r w:rsidR="00C920F4" w:rsidRPr="00C920F4">
              <w:rPr>
                <w:rStyle w:val="Hyperlink"/>
              </w:rPr>
              <w:t>3026-4634</w:t>
            </w:r>
          </w:hyperlink>
          <w:r w:rsidR="00C920F4">
            <w:rPr>
              <w:color w:val="000000"/>
            </w:rPr>
            <w:t xml:space="preserve"> </w:t>
          </w:r>
          <w:r>
            <w:rPr>
              <w:color w:val="000000"/>
            </w:rPr>
            <w:t xml:space="preserve">| </w:t>
          </w:r>
        </w:p>
        <w:p w14:paraId="4D9A5672" w14:textId="77777777" w:rsidR="006D7C6A" w:rsidRDefault="00141EED">
          <w:pPr>
            <w:pBdr>
              <w:top w:val="nil"/>
              <w:left w:val="nil"/>
              <w:bottom w:val="nil"/>
              <w:right w:val="nil"/>
              <w:between w:val="nil"/>
            </w:pBdr>
            <w:tabs>
              <w:tab w:val="center" w:pos="4680"/>
              <w:tab w:val="right" w:pos="9360"/>
            </w:tabs>
            <w:spacing w:line="240" w:lineRule="auto"/>
            <w:jc w:val="center"/>
            <w:rPr>
              <w:color w:val="000000"/>
              <w:sz w:val="13"/>
              <w:szCs w:val="13"/>
            </w:rPr>
          </w:pPr>
          <w:hyperlink r:id="rId3">
            <w:r w:rsidR="004A03E7">
              <w:rPr>
                <w:color w:val="0563C1"/>
                <w:u w:val="single"/>
              </w:rPr>
              <w:t>https://jurnal.rahiscendekiaindonesia.co.id/index.php/ontologi</w:t>
            </w:r>
          </w:hyperlink>
          <w:r w:rsidR="004A03E7">
            <w:rPr>
              <w:color w:val="000000"/>
            </w:rPr>
            <w:t xml:space="preserve">  </w:t>
          </w:r>
        </w:p>
      </w:tc>
      <w:tc>
        <w:tcPr>
          <w:tcW w:w="1261" w:type="dxa"/>
          <w:vAlign w:val="center"/>
        </w:tcPr>
        <w:p w14:paraId="34F32C5B" w14:textId="77777777" w:rsidR="006D7C6A" w:rsidRDefault="006D7C6A">
          <w:pPr>
            <w:pBdr>
              <w:top w:val="nil"/>
              <w:left w:val="nil"/>
              <w:bottom w:val="nil"/>
              <w:right w:val="nil"/>
              <w:between w:val="nil"/>
            </w:pBdr>
            <w:tabs>
              <w:tab w:val="center" w:pos="4680"/>
              <w:tab w:val="right" w:pos="9360"/>
            </w:tabs>
            <w:jc w:val="center"/>
            <w:rPr>
              <w:color w:val="000000"/>
            </w:rPr>
          </w:pPr>
        </w:p>
      </w:tc>
    </w:tr>
    <w:tr w:rsidR="006D7C6A" w14:paraId="0B472384" w14:textId="77777777">
      <w:trPr>
        <w:trHeight w:val="99"/>
      </w:trPr>
      <w:tc>
        <w:tcPr>
          <w:tcW w:w="9950" w:type="dxa"/>
          <w:gridSpan w:val="3"/>
          <w:tcBorders>
            <w:bottom w:val="single" w:sz="24" w:space="0" w:color="000000"/>
          </w:tcBorders>
        </w:tcPr>
        <w:p w14:paraId="4E5E1B38" w14:textId="77777777" w:rsidR="006D7C6A" w:rsidRDefault="006D7C6A">
          <w:pPr>
            <w:pBdr>
              <w:top w:val="nil"/>
              <w:left w:val="nil"/>
              <w:bottom w:val="nil"/>
              <w:right w:val="nil"/>
              <w:between w:val="nil"/>
            </w:pBdr>
            <w:tabs>
              <w:tab w:val="center" w:pos="4680"/>
              <w:tab w:val="right" w:pos="9360"/>
            </w:tabs>
            <w:rPr>
              <w:color w:val="000000"/>
              <w:sz w:val="6"/>
              <w:szCs w:val="6"/>
            </w:rPr>
          </w:pPr>
        </w:p>
      </w:tc>
    </w:tr>
  </w:tbl>
  <w:p w14:paraId="432A2F35" w14:textId="77777777" w:rsidR="006D7C6A" w:rsidRDefault="006D7C6A">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D8FB6" w14:textId="549A955F" w:rsidR="006D7C6A" w:rsidRPr="001851FF" w:rsidRDefault="001851FF" w:rsidP="001851FF">
    <w:pPr>
      <w:pStyle w:val="Header"/>
      <w:jc w:val="center"/>
    </w:pPr>
    <w:r>
      <w:rPr>
        <w:smallCaps/>
        <w:color w:val="808080"/>
        <w:sz w:val="13"/>
        <w:szCs w:val="13"/>
      </w:rPr>
      <w:t xml:space="preserve">ONTOLOGI – </w:t>
    </w:r>
    <w:proofErr w:type="spellStart"/>
    <w:r>
      <w:rPr>
        <w:smallCaps/>
        <w:color w:val="808080"/>
        <w:sz w:val="13"/>
        <w:szCs w:val="13"/>
      </w:rPr>
      <w:t>Jurnal</w:t>
    </w:r>
    <w:proofErr w:type="spellEnd"/>
    <w:r>
      <w:rPr>
        <w:smallCaps/>
        <w:color w:val="808080"/>
        <w:sz w:val="13"/>
        <w:szCs w:val="13"/>
      </w:rPr>
      <w:t xml:space="preserve"> </w:t>
    </w:r>
    <w:proofErr w:type="spellStart"/>
    <w:r>
      <w:rPr>
        <w:smallCaps/>
        <w:color w:val="808080"/>
        <w:sz w:val="13"/>
        <w:szCs w:val="13"/>
      </w:rPr>
      <w:t>Pembelajaran</w:t>
    </w:r>
    <w:proofErr w:type="spellEnd"/>
    <w:r>
      <w:rPr>
        <w:smallCaps/>
        <w:color w:val="808080"/>
        <w:sz w:val="13"/>
        <w:szCs w:val="13"/>
      </w:rPr>
      <w:t xml:space="preserve"> dan Iliah </w:t>
    </w:r>
    <w:proofErr w:type="spellStart"/>
    <w:proofErr w:type="gramStart"/>
    <w:r>
      <w:rPr>
        <w:smallCaps/>
        <w:color w:val="808080"/>
        <w:sz w:val="13"/>
        <w:szCs w:val="13"/>
      </w:rPr>
      <w:t>Kependidikan</w:t>
    </w:r>
    <w:proofErr w:type="spellEnd"/>
    <w:r>
      <w:rPr>
        <w:smallCaps/>
        <w:color w:val="808080"/>
        <w:sz w:val="13"/>
        <w:szCs w:val="13"/>
      </w:rPr>
      <w:t xml:space="preserve">  Vol.</w:t>
    </w:r>
    <w:proofErr w:type="gramEnd"/>
    <w:r>
      <w:rPr>
        <w:smallCaps/>
        <w:color w:val="808080"/>
        <w:sz w:val="13"/>
        <w:szCs w:val="13"/>
      </w:rPr>
      <w:t xml:space="preserve"> 02  Issue 03 (202</w:t>
    </w:r>
    <w:r w:rsidR="00077029">
      <w:rPr>
        <w:smallCaps/>
        <w:color w:val="808080"/>
        <w:sz w:val="13"/>
        <w:szCs w:val="13"/>
      </w:rPr>
      <w:t>4</w:t>
    </w:r>
    <w:r>
      <w:rPr>
        <w:smallCaps/>
        <w:color w:val="808080"/>
        <w:sz w:val="13"/>
        <w:szCs w:val="13"/>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35BC"/>
    <w:multiLevelType w:val="hybridMultilevel"/>
    <w:tmpl w:val="5F26BF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E530F2D"/>
    <w:multiLevelType w:val="hybridMultilevel"/>
    <w:tmpl w:val="DE3422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B15D1A"/>
    <w:multiLevelType w:val="multilevel"/>
    <w:tmpl w:val="D75E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B0DC3"/>
    <w:multiLevelType w:val="multilevel"/>
    <w:tmpl w:val="289E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A6D65"/>
    <w:multiLevelType w:val="multilevel"/>
    <w:tmpl w:val="F5D0E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621059"/>
    <w:multiLevelType w:val="multilevel"/>
    <w:tmpl w:val="B63E2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B621F"/>
    <w:multiLevelType w:val="multilevel"/>
    <w:tmpl w:val="0CB82D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091308"/>
    <w:multiLevelType w:val="multilevel"/>
    <w:tmpl w:val="9EC20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2A4A94"/>
    <w:multiLevelType w:val="multilevel"/>
    <w:tmpl w:val="B98E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85B75"/>
    <w:multiLevelType w:val="hybridMultilevel"/>
    <w:tmpl w:val="402C62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F700C3E"/>
    <w:multiLevelType w:val="multilevel"/>
    <w:tmpl w:val="AEB87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88666F"/>
    <w:multiLevelType w:val="multilevel"/>
    <w:tmpl w:val="ED043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F65BCD"/>
    <w:multiLevelType w:val="multilevel"/>
    <w:tmpl w:val="37DEA67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74F5CED"/>
    <w:multiLevelType w:val="multilevel"/>
    <w:tmpl w:val="5A70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5"/>
  </w:num>
  <w:num w:numId="4">
    <w:abstractNumId w:val="12"/>
  </w:num>
  <w:num w:numId="5">
    <w:abstractNumId w:val="0"/>
  </w:num>
  <w:num w:numId="6">
    <w:abstractNumId w:val="1"/>
  </w:num>
  <w:num w:numId="7">
    <w:abstractNumId w:val="9"/>
  </w:num>
  <w:num w:numId="8">
    <w:abstractNumId w:val="4"/>
  </w:num>
  <w:num w:numId="9">
    <w:abstractNumId w:val="8"/>
  </w:num>
  <w:num w:numId="10">
    <w:abstractNumId w:val="2"/>
  </w:num>
  <w:num w:numId="11">
    <w:abstractNumId w:val="7"/>
  </w:num>
  <w:num w:numId="12">
    <w:abstractNumId w:val="11"/>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C6A"/>
    <w:rsid w:val="00077029"/>
    <w:rsid w:val="000920C8"/>
    <w:rsid w:val="000C7BAC"/>
    <w:rsid w:val="00116A01"/>
    <w:rsid w:val="00141EED"/>
    <w:rsid w:val="001851FF"/>
    <w:rsid w:val="002A2A27"/>
    <w:rsid w:val="003854F9"/>
    <w:rsid w:val="003C6846"/>
    <w:rsid w:val="003D1775"/>
    <w:rsid w:val="004A03E7"/>
    <w:rsid w:val="004B15B8"/>
    <w:rsid w:val="004E2253"/>
    <w:rsid w:val="00583563"/>
    <w:rsid w:val="005867FB"/>
    <w:rsid w:val="005A3ABF"/>
    <w:rsid w:val="005F2C9A"/>
    <w:rsid w:val="005F3219"/>
    <w:rsid w:val="006D7C6A"/>
    <w:rsid w:val="00811520"/>
    <w:rsid w:val="009970E4"/>
    <w:rsid w:val="00AD5F46"/>
    <w:rsid w:val="00AD65E6"/>
    <w:rsid w:val="00B96305"/>
    <w:rsid w:val="00BD31C7"/>
    <w:rsid w:val="00C920F4"/>
    <w:rsid w:val="00E12DCD"/>
    <w:rsid w:val="00EC649C"/>
    <w:rsid w:val="00F34AFB"/>
    <w:rsid w:val="00FA7533"/>
    <w:rsid w:val="00FD19FC"/>
    <w:rsid w:val="00FD395A"/>
    <w:rsid w:val="00FD462B"/>
    <w:rsid w:val="00FF34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30D7"/>
  <w15:docId w15:val="{ED6CFCA9-8921-48F6-95C8-8FD65345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18"/>
        <w:szCs w:val="18"/>
        <w:lang w:val="en-ID" w:eastAsia="en-ID"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style>
  <w:style w:type="paragraph" w:styleId="Heading1">
    <w:name w:val="heading 1"/>
    <w:basedOn w:val="Normal"/>
    <w:next w:val="Normal"/>
    <w:link w:val="Heading1Char"/>
    <w:uiPriority w:val="9"/>
    <w:qFormat/>
    <w:rsid w:val="003F3F13"/>
    <w:pPr>
      <w:keepNext/>
      <w:keepLines/>
      <w:numPr>
        <w:numId w:val="4"/>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semiHidden/>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semiHidden/>
    <w:unhideWhenUsed/>
    <w:qFormat/>
    <w:rsid w:val="004527D9"/>
    <w:pPr>
      <w:numPr>
        <w:ilvl w:val="2"/>
      </w:numPr>
      <w:ind w:left="720"/>
      <w:outlineLvl w:val="2"/>
    </w:pPr>
    <w:rPr>
      <w:b w:val="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i/>
      <w:sz w:val="24"/>
    </w:rPr>
  </w:style>
  <w:style w:type="paragraph" w:customStyle="1" w:styleId="Affiliation">
    <w:name w:val="Affiliation"/>
    <w:basedOn w:val="Normal"/>
    <w:next w:val="Normal"/>
    <w:qFormat/>
    <w:rsid w:val="00DC580C"/>
    <w:rPr>
      <w:i/>
      <w:sz w:val="16"/>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eastAsia="SimSu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Strong">
    <w:name w:val="Strong"/>
    <w:basedOn w:val="DefaultParagraphFont"/>
    <w:uiPriority w:val="22"/>
    <w:qFormat/>
    <w:rsid w:val="00C920F4"/>
    <w:rPr>
      <w:b/>
      <w:bCs/>
    </w:rPr>
  </w:style>
  <w:style w:type="paragraph" w:styleId="NormalWeb">
    <w:name w:val="Normal (Web)"/>
    <w:basedOn w:val="Normal"/>
    <w:uiPriority w:val="99"/>
    <w:unhideWhenUsed/>
    <w:rsid w:val="005867FB"/>
    <w:pPr>
      <w:spacing w:before="100" w:beforeAutospacing="1" w:after="100" w:afterAutospacing="1" w:line="240" w:lineRule="auto"/>
      <w:jc w:val="left"/>
    </w:pPr>
    <w:rPr>
      <w:sz w:val="24"/>
      <w:szCs w:val="24"/>
      <w:lang w:val="en-US" w:eastAsia="en-US"/>
    </w:rPr>
  </w:style>
  <w:style w:type="paragraph" w:customStyle="1" w:styleId="Default">
    <w:name w:val="Default"/>
    <w:rsid w:val="00FF342B"/>
    <w:pPr>
      <w:autoSpaceDE w:val="0"/>
      <w:autoSpaceDN w:val="0"/>
      <w:adjustRightInd w:val="0"/>
      <w:spacing w:line="240" w:lineRule="auto"/>
      <w:jc w:val="left"/>
    </w:pPr>
    <w:rPr>
      <w:color w:val="000000"/>
      <w:sz w:val="24"/>
      <w:szCs w:val="24"/>
    </w:rPr>
  </w:style>
  <w:style w:type="character" w:styleId="Emphasis">
    <w:name w:val="Emphasis"/>
    <w:basedOn w:val="DefaultParagraphFont"/>
    <w:uiPriority w:val="20"/>
    <w:qFormat/>
    <w:rsid w:val="00FF342B"/>
    <w:rPr>
      <w:i/>
      <w:iCs/>
    </w:rPr>
  </w:style>
  <w:style w:type="character" w:styleId="UnresolvedMention">
    <w:name w:val="Unresolved Mention"/>
    <w:basedOn w:val="DefaultParagraphFont"/>
    <w:uiPriority w:val="99"/>
    <w:semiHidden/>
    <w:unhideWhenUsed/>
    <w:rsid w:val="00B96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5740">
      <w:bodyDiv w:val="1"/>
      <w:marLeft w:val="0"/>
      <w:marRight w:val="0"/>
      <w:marTop w:val="0"/>
      <w:marBottom w:val="0"/>
      <w:divBdr>
        <w:top w:val="none" w:sz="0" w:space="0" w:color="auto"/>
        <w:left w:val="none" w:sz="0" w:space="0" w:color="auto"/>
        <w:bottom w:val="none" w:sz="0" w:space="0" w:color="auto"/>
        <w:right w:val="none" w:sz="0" w:space="0" w:color="auto"/>
      </w:divBdr>
    </w:div>
    <w:div w:id="127941368">
      <w:bodyDiv w:val="1"/>
      <w:marLeft w:val="0"/>
      <w:marRight w:val="0"/>
      <w:marTop w:val="0"/>
      <w:marBottom w:val="0"/>
      <w:divBdr>
        <w:top w:val="none" w:sz="0" w:space="0" w:color="auto"/>
        <w:left w:val="none" w:sz="0" w:space="0" w:color="auto"/>
        <w:bottom w:val="none" w:sz="0" w:space="0" w:color="auto"/>
        <w:right w:val="none" w:sz="0" w:space="0" w:color="auto"/>
      </w:divBdr>
    </w:div>
    <w:div w:id="165826241">
      <w:bodyDiv w:val="1"/>
      <w:marLeft w:val="0"/>
      <w:marRight w:val="0"/>
      <w:marTop w:val="0"/>
      <w:marBottom w:val="0"/>
      <w:divBdr>
        <w:top w:val="none" w:sz="0" w:space="0" w:color="auto"/>
        <w:left w:val="none" w:sz="0" w:space="0" w:color="auto"/>
        <w:bottom w:val="none" w:sz="0" w:space="0" w:color="auto"/>
        <w:right w:val="none" w:sz="0" w:space="0" w:color="auto"/>
      </w:divBdr>
    </w:div>
    <w:div w:id="258100688">
      <w:bodyDiv w:val="1"/>
      <w:marLeft w:val="0"/>
      <w:marRight w:val="0"/>
      <w:marTop w:val="0"/>
      <w:marBottom w:val="0"/>
      <w:divBdr>
        <w:top w:val="none" w:sz="0" w:space="0" w:color="auto"/>
        <w:left w:val="none" w:sz="0" w:space="0" w:color="auto"/>
        <w:bottom w:val="none" w:sz="0" w:space="0" w:color="auto"/>
        <w:right w:val="none" w:sz="0" w:space="0" w:color="auto"/>
      </w:divBdr>
    </w:div>
    <w:div w:id="303049193">
      <w:bodyDiv w:val="1"/>
      <w:marLeft w:val="0"/>
      <w:marRight w:val="0"/>
      <w:marTop w:val="0"/>
      <w:marBottom w:val="0"/>
      <w:divBdr>
        <w:top w:val="none" w:sz="0" w:space="0" w:color="auto"/>
        <w:left w:val="none" w:sz="0" w:space="0" w:color="auto"/>
        <w:bottom w:val="none" w:sz="0" w:space="0" w:color="auto"/>
        <w:right w:val="none" w:sz="0" w:space="0" w:color="auto"/>
      </w:divBdr>
    </w:div>
    <w:div w:id="367343200">
      <w:bodyDiv w:val="1"/>
      <w:marLeft w:val="0"/>
      <w:marRight w:val="0"/>
      <w:marTop w:val="0"/>
      <w:marBottom w:val="0"/>
      <w:divBdr>
        <w:top w:val="none" w:sz="0" w:space="0" w:color="auto"/>
        <w:left w:val="none" w:sz="0" w:space="0" w:color="auto"/>
        <w:bottom w:val="none" w:sz="0" w:space="0" w:color="auto"/>
        <w:right w:val="none" w:sz="0" w:space="0" w:color="auto"/>
      </w:divBdr>
    </w:div>
    <w:div w:id="474224325">
      <w:bodyDiv w:val="1"/>
      <w:marLeft w:val="0"/>
      <w:marRight w:val="0"/>
      <w:marTop w:val="0"/>
      <w:marBottom w:val="0"/>
      <w:divBdr>
        <w:top w:val="none" w:sz="0" w:space="0" w:color="auto"/>
        <w:left w:val="none" w:sz="0" w:space="0" w:color="auto"/>
        <w:bottom w:val="none" w:sz="0" w:space="0" w:color="auto"/>
        <w:right w:val="none" w:sz="0" w:space="0" w:color="auto"/>
      </w:divBdr>
    </w:div>
    <w:div w:id="603000918">
      <w:bodyDiv w:val="1"/>
      <w:marLeft w:val="0"/>
      <w:marRight w:val="0"/>
      <w:marTop w:val="0"/>
      <w:marBottom w:val="0"/>
      <w:divBdr>
        <w:top w:val="none" w:sz="0" w:space="0" w:color="auto"/>
        <w:left w:val="none" w:sz="0" w:space="0" w:color="auto"/>
        <w:bottom w:val="none" w:sz="0" w:space="0" w:color="auto"/>
        <w:right w:val="none" w:sz="0" w:space="0" w:color="auto"/>
      </w:divBdr>
    </w:div>
    <w:div w:id="785122152">
      <w:bodyDiv w:val="1"/>
      <w:marLeft w:val="0"/>
      <w:marRight w:val="0"/>
      <w:marTop w:val="0"/>
      <w:marBottom w:val="0"/>
      <w:divBdr>
        <w:top w:val="none" w:sz="0" w:space="0" w:color="auto"/>
        <w:left w:val="none" w:sz="0" w:space="0" w:color="auto"/>
        <w:bottom w:val="none" w:sz="0" w:space="0" w:color="auto"/>
        <w:right w:val="none" w:sz="0" w:space="0" w:color="auto"/>
      </w:divBdr>
    </w:div>
    <w:div w:id="789054824">
      <w:bodyDiv w:val="1"/>
      <w:marLeft w:val="0"/>
      <w:marRight w:val="0"/>
      <w:marTop w:val="0"/>
      <w:marBottom w:val="0"/>
      <w:divBdr>
        <w:top w:val="none" w:sz="0" w:space="0" w:color="auto"/>
        <w:left w:val="none" w:sz="0" w:space="0" w:color="auto"/>
        <w:bottom w:val="none" w:sz="0" w:space="0" w:color="auto"/>
        <w:right w:val="none" w:sz="0" w:space="0" w:color="auto"/>
      </w:divBdr>
    </w:div>
    <w:div w:id="844629821">
      <w:bodyDiv w:val="1"/>
      <w:marLeft w:val="0"/>
      <w:marRight w:val="0"/>
      <w:marTop w:val="0"/>
      <w:marBottom w:val="0"/>
      <w:divBdr>
        <w:top w:val="none" w:sz="0" w:space="0" w:color="auto"/>
        <w:left w:val="none" w:sz="0" w:space="0" w:color="auto"/>
        <w:bottom w:val="none" w:sz="0" w:space="0" w:color="auto"/>
        <w:right w:val="none" w:sz="0" w:space="0" w:color="auto"/>
      </w:divBdr>
    </w:div>
    <w:div w:id="849444590">
      <w:bodyDiv w:val="1"/>
      <w:marLeft w:val="0"/>
      <w:marRight w:val="0"/>
      <w:marTop w:val="0"/>
      <w:marBottom w:val="0"/>
      <w:divBdr>
        <w:top w:val="none" w:sz="0" w:space="0" w:color="auto"/>
        <w:left w:val="none" w:sz="0" w:space="0" w:color="auto"/>
        <w:bottom w:val="none" w:sz="0" w:space="0" w:color="auto"/>
        <w:right w:val="none" w:sz="0" w:space="0" w:color="auto"/>
      </w:divBdr>
    </w:div>
    <w:div w:id="912279213">
      <w:bodyDiv w:val="1"/>
      <w:marLeft w:val="0"/>
      <w:marRight w:val="0"/>
      <w:marTop w:val="0"/>
      <w:marBottom w:val="0"/>
      <w:divBdr>
        <w:top w:val="none" w:sz="0" w:space="0" w:color="auto"/>
        <w:left w:val="none" w:sz="0" w:space="0" w:color="auto"/>
        <w:bottom w:val="none" w:sz="0" w:space="0" w:color="auto"/>
        <w:right w:val="none" w:sz="0" w:space="0" w:color="auto"/>
      </w:divBdr>
    </w:div>
    <w:div w:id="1072042092">
      <w:bodyDiv w:val="1"/>
      <w:marLeft w:val="0"/>
      <w:marRight w:val="0"/>
      <w:marTop w:val="0"/>
      <w:marBottom w:val="0"/>
      <w:divBdr>
        <w:top w:val="none" w:sz="0" w:space="0" w:color="auto"/>
        <w:left w:val="none" w:sz="0" w:space="0" w:color="auto"/>
        <w:bottom w:val="none" w:sz="0" w:space="0" w:color="auto"/>
        <w:right w:val="none" w:sz="0" w:space="0" w:color="auto"/>
      </w:divBdr>
    </w:div>
    <w:div w:id="1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1954285559">
          <w:marLeft w:val="0"/>
          <w:marRight w:val="0"/>
          <w:marTop w:val="0"/>
          <w:marBottom w:val="0"/>
          <w:divBdr>
            <w:top w:val="none" w:sz="0" w:space="0" w:color="auto"/>
            <w:left w:val="none" w:sz="0" w:space="0" w:color="auto"/>
            <w:bottom w:val="none" w:sz="0" w:space="0" w:color="auto"/>
            <w:right w:val="none" w:sz="0" w:space="0" w:color="auto"/>
          </w:divBdr>
        </w:div>
        <w:div w:id="386221773">
          <w:marLeft w:val="0"/>
          <w:marRight w:val="0"/>
          <w:marTop w:val="0"/>
          <w:marBottom w:val="0"/>
          <w:divBdr>
            <w:top w:val="none" w:sz="0" w:space="0" w:color="auto"/>
            <w:left w:val="none" w:sz="0" w:space="0" w:color="auto"/>
            <w:bottom w:val="none" w:sz="0" w:space="0" w:color="auto"/>
            <w:right w:val="none" w:sz="0" w:space="0" w:color="auto"/>
          </w:divBdr>
        </w:div>
      </w:divsChild>
    </w:div>
    <w:div w:id="1144541813">
      <w:bodyDiv w:val="1"/>
      <w:marLeft w:val="0"/>
      <w:marRight w:val="0"/>
      <w:marTop w:val="0"/>
      <w:marBottom w:val="0"/>
      <w:divBdr>
        <w:top w:val="none" w:sz="0" w:space="0" w:color="auto"/>
        <w:left w:val="none" w:sz="0" w:space="0" w:color="auto"/>
        <w:bottom w:val="none" w:sz="0" w:space="0" w:color="auto"/>
        <w:right w:val="none" w:sz="0" w:space="0" w:color="auto"/>
      </w:divBdr>
    </w:div>
    <w:div w:id="1199002116">
      <w:bodyDiv w:val="1"/>
      <w:marLeft w:val="0"/>
      <w:marRight w:val="0"/>
      <w:marTop w:val="0"/>
      <w:marBottom w:val="0"/>
      <w:divBdr>
        <w:top w:val="none" w:sz="0" w:space="0" w:color="auto"/>
        <w:left w:val="none" w:sz="0" w:space="0" w:color="auto"/>
        <w:bottom w:val="none" w:sz="0" w:space="0" w:color="auto"/>
        <w:right w:val="none" w:sz="0" w:space="0" w:color="auto"/>
      </w:divBdr>
    </w:div>
    <w:div w:id="1322193792">
      <w:bodyDiv w:val="1"/>
      <w:marLeft w:val="0"/>
      <w:marRight w:val="0"/>
      <w:marTop w:val="0"/>
      <w:marBottom w:val="0"/>
      <w:divBdr>
        <w:top w:val="none" w:sz="0" w:space="0" w:color="auto"/>
        <w:left w:val="none" w:sz="0" w:space="0" w:color="auto"/>
        <w:bottom w:val="none" w:sz="0" w:space="0" w:color="auto"/>
        <w:right w:val="none" w:sz="0" w:space="0" w:color="auto"/>
      </w:divBdr>
    </w:div>
    <w:div w:id="1340044061">
      <w:bodyDiv w:val="1"/>
      <w:marLeft w:val="0"/>
      <w:marRight w:val="0"/>
      <w:marTop w:val="0"/>
      <w:marBottom w:val="0"/>
      <w:divBdr>
        <w:top w:val="none" w:sz="0" w:space="0" w:color="auto"/>
        <w:left w:val="none" w:sz="0" w:space="0" w:color="auto"/>
        <w:bottom w:val="none" w:sz="0" w:space="0" w:color="auto"/>
        <w:right w:val="none" w:sz="0" w:space="0" w:color="auto"/>
      </w:divBdr>
    </w:div>
    <w:div w:id="1390686706">
      <w:bodyDiv w:val="1"/>
      <w:marLeft w:val="0"/>
      <w:marRight w:val="0"/>
      <w:marTop w:val="0"/>
      <w:marBottom w:val="0"/>
      <w:divBdr>
        <w:top w:val="none" w:sz="0" w:space="0" w:color="auto"/>
        <w:left w:val="none" w:sz="0" w:space="0" w:color="auto"/>
        <w:bottom w:val="none" w:sz="0" w:space="0" w:color="auto"/>
        <w:right w:val="none" w:sz="0" w:space="0" w:color="auto"/>
      </w:divBdr>
    </w:div>
    <w:div w:id="1668710112">
      <w:bodyDiv w:val="1"/>
      <w:marLeft w:val="0"/>
      <w:marRight w:val="0"/>
      <w:marTop w:val="0"/>
      <w:marBottom w:val="0"/>
      <w:divBdr>
        <w:top w:val="none" w:sz="0" w:space="0" w:color="auto"/>
        <w:left w:val="none" w:sz="0" w:space="0" w:color="auto"/>
        <w:bottom w:val="none" w:sz="0" w:space="0" w:color="auto"/>
        <w:right w:val="none" w:sz="0" w:space="0" w:color="auto"/>
      </w:divBdr>
    </w:div>
    <w:div w:id="1786383531">
      <w:bodyDiv w:val="1"/>
      <w:marLeft w:val="0"/>
      <w:marRight w:val="0"/>
      <w:marTop w:val="0"/>
      <w:marBottom w:val="0"/>
      <w:divBdr>
        <w:top w:val="none" w:sz="0" w:space="0" w:color="auto"/>
        <w:left w:val="none" w:sz="0" w:space="0" w:color="auto"/>
        <w:bottom w:val="none" w:sz="0" w:space="0" w:color="auto"/>
        <w:right w:val="none" w:sz="0" w:space="0" w:color="auto"/>
      </w:divBdr>
    </w:div>
    <w:div w:id="1904098842">
      <w:bodyDiv w:val="1"/>
      <w:marLeft w:val="0"/>
      <w:marRight w:val="0"/>
      <w:marTop w:val="0"/>
      <w:marBottom w:val="0"/>
      <w:divBdr>
        <w:top w:val="none" w:sz="0" w:space="0" w:color="auto"/>
        <w:left w:val="none" w:sz="0" w:space="0" w:color="auto"/>
        <w:bottom w:val="none" w:sz="0" w:space="0" w:color="auto"/>
        <w:right w:val="none" w:sz="0" w:space="0" w:color="auto"/>
      </w:divBdr>
      <w:divsChild>
        <w:div w:id="808473413">
          <w:marLeft w:val="0"/>
          <w:marRight w:val="0"/>
          <w:marTop w:val="0"/>
          <w:marBottom w:val="0"/>
          <w:divBdr>
            <w:top w:val="none" w:sz="0" w:space="0" w:color="auto"/>
            <w:left w:val="none" w:sz="0" w:space="0" w:color="auto"/>
            <w:bottom w:val="none" w:sz="0" w:space="0" w:color="auto"/>
            <w:right w:val="none" w:sz="0" w:space="0" w:color="auto"/>
          </w:divBdr>
        </w:div>
        <w:div w:id="305623831">
          <w:marLeft w:val="0"/>
          <w:marRight w:val="0"/>
          <w:marTop w:val="0"/>
          <w:marBottom w:val="0"/>
          <w:divBdr>
            <w:top w:val="none" w:sz="0" w:space="0" w:color="auto"/>
            <w:left w:val="none" w:sz="0" w:space="0" w:color="auto"/>
            <w:bottom w:val="none" w:sz="0" w:space="0" w:color="auto"/>
            <w:right w:val="none" w:sz="0" w:space="0" w:color="auto"/>
          </w:divBdr>
        </w:div>
        <w:div w:id="1962422114">
          <w:marLeft w:val="0"/>
          <w:marRight w:val="0"/>
          <w:marTop w:val="0"/>
          <w:marBottom w:val="0"/>
          <w:divBdr>
            <w:top w:val="none" w:sz="0" w:space="0" w:color="auto"/>
            <w:left w:val="none" w:sz="0" w:space="0" w:color="auto"/>
            <w:bottom w:val="none" w:sz="0" w:space="0" w:color="auto"/>
            <w:right w:val="none" w:sz="0" w:space="0" w:color="auto"/>
          </w:divBdr>
        </w:div>
        <w:div w:id="1204908162">
          <w:marLeft w:val="0"/>
          <w:marRight w:val="0"/>
          <w:marTop w:val="0"/>
          <w:marBottom w:val="0"/>
          <w:divBdr>
            <w:top w:val="none" w:sz="0" w:space="0" w:color="auto"/>
            <w:left w:val="none" w:sz="0" w:space="0" w:color="auto"/>
            <w:bottom w:val="none" w:sz="0" w:space="0" w:color="auto"/>
            <w:right w:val="none" w:sz="0" w:space="0" w:color="auto"/>
          </w:divBdr>
        </w:div>
        <w:div w:id="1103920480">
          <w:marLeft w:val="0"/>
          <w:marRight w:val="0"/>
          <w:marTop w:val="0"/>
          <w:marBottom w:val="0"/>
          <w:divBdr>
            <w:top w:val="none" w:sz="0" w:space="0" w:color="auto"/>
            <w:left w:val="none" w:sz="0" w:space="0" w:color="auto"/>
            <w:bottom w:val="none" w:sz="0" w:space="0" w:color="auto"/>
            <w:right w:val="none" w:sz="0" w:space="0" w:color="auto"/>
          </w:divBdr>
        </w:div>
      </w:divsChild>
    </w:div>
    <w:div w:id="2006592014">
      <w:bodyDiv w:val="1"/>
      <w:marLeft w:val="0"/>
      <w:marRight w:val="0"/>
      <w:marTop w:val="0"/>
      <w:marBottom w:val="0"/>
      <w:divBdr>
        <w:top w:val="none" w:sz="0" w:space="0" w:color="auto"/>
        <w:left w:val="none" w:sz="0" w:space="0" w:color="auto"/>
        <w:bottom w:val="none" w:sz="0" w:space="0" w:color="auto"/>
        <w:right w:val="none" w:sz="0" w:space="0" w:color="auto"/>
      </w:divBdr>
    </w:div>
    <w:div w:id="2014257657">
      <w:bodyDiv w:val="1"/>
      <w:marLeft w:val="0"/>
      <w:marRight w:val="0"/>
      <w:marTop w:val="0"/>
      <w:marBottom w:val="0"/>
      <w:divBdr>
        <w:top w:val="none" w:sz="0" w:space="0" w:color="auto"/>
        <w:left w:val="none" w:sz="0" w:space="0" w:color="auto"/>
        <w:bottom w:val="none" w:sz="0" w:space="0" w:color="auto"/>
        <w:right w:val="none" w:sz="0" w:space="0" w:color="auto"/>
      </w:divBdr>
    </w:div>
    <w:div w:id="2113937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unesdoc.unesco.org/ark:/48223/pf000037970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vidiahnovita86@gmail.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jurnal.rahiscendekiaindonesia.co.id/index.php/ontologi" TargetMode="External"/><Relationship Id="rId2" Type="http://schemas.openxmlformats.org/officeDocument/2006/relationships/hyperlink" Target="https://issn.brin.go.id/terbit/detail/2023103054235794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opokl1T4unUxoq1uOhLIs0WzIA==">CgMxLjAyCGguZ2pkZ3hzOAByITFCMjBRNXhoQTZiazdBcVlRVnR0V0F1WjlNbzlVdDltOQ==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668FAD-56D7-42DC-AE3E-38953F9C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Fajril Akbar</dc:creator>
  <cp:lastModifiedBy>User</cp:lastModifiedBy>
  <cp:revision>2</cp:revision>
  <cp:lastPrinted>2025-05-16T11:20:00Z</cp:lastPrinted>
  <dcterms:created xsi:type="dcterms:W3CDTF">2025-05-16T11:20:00Z</dcterms:created>
  <dcterms:modified xsi:type="dcterms:W3CDTF">2025-05-16T11:20:00Z</dcterms:modified>
</cp:coreProperties>
</file>